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58F5" w:rsidRPr="005858F5" w:rsidRDefault="005858F5" w:rsidP="005858F5">
      <w:pPr>
        <w:shd w:val="clear" w:color="auto" w:fill="D9D9D9" w:themeFill="background1" w:themeFillShade="D9"/>
        <w:jc w:val="center"/>
        <w:rPr>
          <w:b/>
          <w:bCs/>
          <w:sz w:val="24"/>
          <w:szCs w:val="24"/>
          <w:u w:val="single"/>
        </w:rPr>
      </w:pPr>
      <w:r w:rsidRPr="005858F5">
        <w:rPr>
          <w:b/>
          <w:bCs/>
          <w:sz w:val="24"/>
          <w:szCs w:val="24"/>
        </w:rPr>
        <w:t xml:space="preserve">Groupe : </w:t>
      </w:r>
      <w:r w:rsidRPr="005858F5">
        <w:rPr>
          <w:b/>
          <w:sz w:val="24"/>
          <w:szCs w:val="24"/>
        </w:rPr>
        <w:t>F</w:t>
      </w:r>
      <w:r w:rsidRPr="005858F5">
        <w:rPr>
          <w:b/>
          <w:sz w:val="24"/>
          <w:szCs w:val="24"/>
        </w:rPr>
        <w:t>orêt de Haguenau</w:t>
      </w:r>
    </w:p>
    <w:p w:rsidR="00C40B6C" w:rsidRDefault="00F31343" w:rsidP="00C40B6C">
      <w:pPr>
        <w:rPr>
          <w:b/>
          <w:bCs/>
          <w:sz w:val="24"/>
          <w:szCs w:val="24"/>
        </w:rPr>
      </w:pPr>
      <w:r w:rsidRPr="00F31343">
        <w:rPr>
          <w:b/>
          <w:bCs/>
          <w:sz w:val="24"/>
          <w:szCs w:val="24"/>
          <w:u w:val="single"/>
        </w:rPr>
        <w:t>Document 1</w:t>
      </w:r>
      <w:r w:rsidRPr="00F31343">
        <w:rPr>
          <w:b/>
          <w:bCs/>
          <w:sz w:val="24"/>
          <w:szCs w:val="24"/>
        </w:rPr>
        <w:t xml:space="preserve"> : </w:t>
      </w:r>
      <w:r w:rsidRPr="00C40B6C">
        <w:rPr>
          <w:sz w:val="24"/>
          <w:szCs w:val="24"/>
        </w:rPr>
        <w:t>Présentation de la forêt de Haguenau</w:t>
      </w:r>
      <w:r w:rsidR="005858F5">
        <w:rPr>
          <w:sz w:val="24"/>
          <w:szCs w:val="24"/>
        </w:rPr>
        <w:t xml:space="preserve"> </w:t>
      </w:r>
      <w:bookmarkStart w:id="0" w:name="_GoBack"/>
      <w:bookmarkEnd w:id="0"/>
      <w:r w:rsidR="00C40B6C" w:rsidRPr="00C40B6C">
        <w:rPr>
          <w:i/>
          <w:iCs/>
          <w:sz w:val="16"/>
          <w:szCs w:val="16"/>
        </w:rPr>
        <w:t xml:space="preserve">(source : </w:t>
      </w:r>
      <w:hyperlink r:id="rId5" w:history="1">
        <w:r w:rsidR="00C40B6C" w:rsidRPr="00C40B6C">
          <w:rPr>
            <w:rStyle w:val="Lienhypertexte"/>
            <w:i/>
            <w:iCs/>
            <w:sz w:val="16"/>
            <w:szCs w:val="16"/>
          </w:rPr>
          <w:t>http://www1.onf.fr/enforet/haguenau/@@index.html</w:t>
        </w:r>
      </w:hyperlink>
      <w:r w:rsidR="00C40B6C">
        <w:rPr>
          <w:b/>
          <w:bCs/>
          <w:sz w:val="16"/>
          <w:szCs w:val="16"/>
        </w:rPr>
        <w:t>)</w:t>
      </w:r>
    </w:p>
    <w:p w:rsidR="00F31343" w:rsidRDefault="00F31343" w:rsidP="00C40B6C">
      <w:r>
        <w:rPr>
          <w:noProof/>
          <w:lang w:eastAsia="fr-FR"/>
        </w:rPr>
        <w:drawing>
          <wp:anchor distT="0" distB="0" distL="114300" distR="114300" simplePos="0" relativeHeight="251658240" behindDoc="0" locked="0" layoutInCell="1" allowOverlap="1">
            <wp:simplePos x="0" y="0"/>
            <wp:positionH relativeFrom="column">
              <wp:posOffset>2988</wp:posOffset>
            </wp:positionH>
            <wp:positionV relativeFrom="paragraph">
              <wp:posOffset>77246</wp:posOffset>
            </wp:positionV>
            <wp:extent cx="3306947" cy="2975872"/>
            <wp:effectExtent l="19050" t="19050" r="27305" b="1524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6947" cy="2975872"/>
                    </a:xfrm>
                    <a:prstGeom prst="rect">
                      <a:avLst/>
                    </a:prstGeom>
                    <a:noFill/>
                    <a:ln w="12700">
                      <a:solidFill>
                        <a:schemeClr val="tx1"/>
                      </a:solidFill>
                    </a:ln>
                  </pic:spPr>
                </pic:pic>
              </a:graphicData>
            </a:graphic>
          </wp:anchor>
        </w:drawing>
      </w:r>
      <w:r>
        <w:t>Au nord de la plaine d'Alsace, la forêt indivise de Haguenau s'étend sur plus de 13.000 ha, depuis les Vosges jusqu'au Rhin. Sixième forêt française par sa superficie, ce grand massif de plaine demeure préservé des grandes infrastructures, malgré sa position en lisière de la ville de Haguenau et sa proximité avec Strasbourg.</w:t>
      </w:r>
    </w:p>
    <w:p w:rsidR="00F31343" w:rsidRDefault="00F31343" w:rsidP="00F31343">
      <w:pPr>
        <w:pStyle w:val="NormalWeb"/>
        <w:jc w:val="both"/>
      </w:pPr>
      <w:r>
        <w:t xml:space="preserve">Surnommée "forêt sainte", elle conserve de nombreuses traces de son passé dont près de 450 </w:t>
      </w:r>
      <w:proofErr w:type="gramStart"/>
      <w:r>
        <w:t>tumulus préhistoriques</w:t>
      </w:r>
      <w:proofErr w:type="gramEnd"/>
      <w:r>
        <w:t xml:space="preserve"> et un arbre mythique, le "Gros chêne", associé à la légende de saint Arbogast. </w:t>
      </w:r>
      <w:r>
        <w:br/>
      </w:r>
      <w:r>
        <w:br/>
      </w:r>
    </w:p>
    <w:p w:rsidR="00F31343" w:rsidRDefault="00F31343" w:rsidP="00F31343">
      <w:pPr>
        <w:pStyle w:val="NormalWeb"/>
        <w:jc w:val="both"/>
      </w:pPr>
    </w:p>
    <w:p w:rsidR="00F31343" w:rsidRDefault="00F31343" w:rsidP="00F31343">
      <w:pPr>
        <w:pStyle w:val="NormalWeb"/>
        <w:jc w:val="both"/>
      </w:pPr>
    </w:p>
    <w:p w:rsidR="00F31343" w:rsidRDefault="00F31343" w:rsidP="00F31343">
      <w:pPr>
        <w:pStyle w:val="NormalWeb"/>
      </w:pPr>
      <w:r>
        <w:t>Riche en milieux et en espèces rares, la forêt est classée zone Natura 2000. Elle est composée principalement de pins autochtones et de chênes. Uniques en France, les pineraies de Haguenau créent une atmosphère particulière qui rappelle celle des grandes forêts nordiques.</w:t>
      </w:r>
      <w:r>
        <w:br/>
      </w:r>
      <w:r>
        <w:br/>
        <w:t xml:space="preserve">C'est aussi l'une des rares forêts publiques "indivises" de France : elle est gérée par l'ONF en collaboration avec la ville de Haguenau, qui en est copropriétaire avec l'Etat. </w:t>
      </w:r>
      <w:r>
        <w:br/>
      </w:r>
      <w:r>
        <w:br/>
        <w:t xml:space="preserve">Production de bois, protection environnementale et accueil du public... les enjeux liés à cette forêt sont multiples. </w:t>
      </w:r>
    </w:p>
    <w:p w:rsidR="00F31343" w:rsidRDefault="00F31343">
      <w:r>
        <w:rPr>
          <w:noProof/>
          <w:lang w:eastAsia="fr-FR"/>
        </w:rPr>
        <w:drawing>
          <wp:inline distT="0" distB="0" distL="0" distR="0">
            <wp:extent cx="5120715" cy="1527505"/>
            <wp:effectExtent l="19050" t="19050" r="22860" b="158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90402" cy="1548292"/>
                    </a:xfrm>
                    <a:prstGeom prst="rect">
                      <a:avLst/>
                    </a:prstGeom>
                    <a:ln w="12700">
                      <a:solidFill>
                        <a:schemeClr val="tx1"/>
                      </a:solidFill>
                    </a:ln>
                  </pic:spPr>
                </pic:pic>
              </a:graphicData>
            </a:graphic>
          </wp:inline>
        </w:drawing>
      </w:r>
    </w:p>
    <w:p w:rsidR="00F31343" w:rsidRDefault="00F31343"/>
    <w:p w:rsidR="00F31343" w:rsidRPr="00F31343" w:rsidRDefault="00F31343">
      <w:pPr>
        <w:rPr>
          <w:b/>
          <w:bCs/>
        </w:rPr>
      </w:pPr>
      <w:r w:rsidRPr="00F31343">
        <w:rPr>
          <w:b/>
          <w:bCs/>
        </w:rPr>
        <w:t>Pour plus de détails :</w:t>
      </w:r>
    </w:p>
    <w:p w:rsidR="00F31343" w:rsidRDefault="005858F5">
      <w:hyperlink r:id="rId8" w:history="1">
        <w:r w:rsidR="00F31343" w:rsidRPr="0061712D">
          <w:rPr>
            <w:rStyle w:val="Lienhypertexte"/>
          </w:rPr>
          <w:t>http://www1.onf.fr/foret-exception/sommaire/foretreseau/haguenau/@@index.html</w:t>
        </w:r>
      </w:hyperlink>
    </w:p>
    <w:p w:rsidR="00F31343" w:rsidRDefault="00F31343"/>
    <w:p w:rsidR="001F2250" w:rsidRDefault="001F2250"/>
    <w:p w:rsidR="001F2250" w:rsidRDefault="001F2250"/>
    <w:p w:rsidR="001F2250" w:rsidRDefault="001F2250"/>
    <w:p w:rsidR="001F2250" w:rsidRDefault="001F2250"/>
    <w:p w:rsidR="001F2250" w:rsidRDefault="001F2250"/>
    <w:p w:rsidR="001F2250" w:rsidRDefault="001F2250" w:rsidP="001F2250">
      <w:r w:rsidRPr="00992210">
        <w:rPr>
          <w:u w:val="single"/>
        </w:rPr>
        <w:t>Document 2</w:t>
      </w:r>
      <w:r>
        <w:t xml:space="preserve"> : Le changement climatique et la </w:t>
      </w:r>
      <w:proofErr w:type="gramStart"/>
      <w:r>
        <w:t>forêt</w:t>
      </w:r>
      <w:r w:rsidRPr="00D64401">
        <w:rPr>
          <w:i/>
          <w:iCs/>
        </w:rPr>
        <w:t>(</w:t>
      </w:r>
      <w:proofErr w:type="gramEnd"/>
      <w:r w:rsidRPr="00D64401">
        <w:rPr>
          <w:i/>
          <w:iCs/>
        </w:rPr>
        <w:t>source :</w:t>
      </w:r>
      <w:hyperlink r:id="rId9" w:history="1">
        <w:r w:rsidRPr="00D64401">
          <w:rPr>
            <w:rStyle w:val="Lienhypertexte"/>
            <w:i/>
            <w:iCs/>
            <w:sz w:val="20"/>
            <w:szCs w:val="20"/>
          </w:rPr>
          <w:t>https://www.reseau-aforce.fr/</w:t>
        </w:r>
      </w:hyperlink>
      <w:r w:rsidRPr="00D64401">
        <w:rPr>
          <w:i/>
          <w:iCs/>
        </w:rPr>
        <w:t>)</w:t>
      </w:r>
    </w:p>
    <w:p w:rsidR="001F2250" w:rsidRDefault="001F2250" w:rsidP="001F2250">
      <w:pPr>
        <w:jc w:val="both"/>
        <w:rPr>
          <w:rFonts w:cstheme="minorHAnsi"/>
        </w:rPr>
      </w:pPr>
      <w:r w:rsidRPr="00FC78F8">
        <w:rPr>
          <w:rFonts w:cstheme="minorHAnsi"/>
          <w:u w:val="single"/>
        </w:rPr>
        <w:t>Document 2a</w:t>
      </w:r>
      <w:r>
        <w:rPr>
          <w:rFonts w:cstheme="minorHAnsi"/>
        </w:rPr>
        <w:t> : Forêts et climats</w:t>
      </w:r>
    </w:p>
    <w:p w:rsidR="001F2250" w:rsidRPr="00FC78F8" w:rsidRDefault="001F2250" w:rsidP="001F2250">
      <w:pPr>
        <w:jc w:val="both"/>
        <w:rPr>
          <w:rFonts w:cstheme="minorHAnsi"/>
        </w:rPr>
      </w:pPr>
      <w:r w:rsidRPr="00FC78F8">
        <w:rPr>
          <w:rFonts w:cstheme="minorHAnsi"/>
        </w:rPr>
        <w:t xml:space="preserve">La température, liée à l’énergie solaire reçue, varie de l’équateur aux pôles et détermine, à l’échelle mondiale, l’ordonnancement en bandes parallèles des grands types de végétation : équatoriale, tropicale, tempérée, boréale. </w:t>
      </w:r>
    </w:p>
    <w:p w:rsidR="001F2250" w:rsidRPr="00FC78F8" w:rsidRDefault="001F2250" w:rsidP="001F2250">
      <w:pPr>
        <w:pStyle w:val="NormalWeb"/>
        <w:jc w:val="both"/>
        <w:rPr>
          <w:rFonts w:asciiTheme="minorHAnsi" w:hAnsiTheme="minorHAnsi" w:cstheme="minorHAnsi"/>
          <w:sz w:val="22"/>
          <w:szCs w:val="22"/>
        </w:rPr>
      </w:pPr>
      <w:r w:rsidRPr="00FC78F8">
        <w:rPr>
          <w:rFonts w:asciiTheme="minorHAnsi" w:hAnsiTheme="minorHAnsi" w:cstheme="minorHAnsi"/>
          <w:sz w:val="22"/>
          <w:szCs w:val="22"/>
        </w:rPr>
        <w:t>Le besoin en eau d’une plante dépend de la température, mais aussi du rayonnement, de l’humidité de l’air et du vent. Les précipitations ne répondent pas toujours à ce besoin, notamment en été. Il y a alors un déficit hydrique.</w:t>
      </w:r>
    </w:p>
    <w:p w:rsidR="001F2250" w:rsidRDefault="001F2250" w:rsidP="001F2250">
      <w:pPr>
        <w:pStyle w:val="NormalWeb"/>
        <w:jc w:val="both"/>
        <w:rPr>
          <w:rFonts w:asciiTheme="minorHAnsi" w:hAnsiTheme="minorHAnsi" w:cstheme="minorHAnsi"/>
          <w:sz w:val="22"/>
          <w:szCs w:val="22"/>
        </w:rPr>
      </w:pPr>
      <w:r w:rsidRPr="00FC78F8">
        <w:rPr>
          <w:rFonts w:asciiTheme="minorHAnsi" w:hAnsiTheme="minorHAnsi" w:cstheme="minorHAnsi"/>
          <w:sz w:val="22"/>
          <w:szCs w:val="22"/>
        </w:rPr>
        <w:t>Besoins en chaleur, tolérance au froid et au déficit hydrique : chaque espèce d’arbre a ses exigences propres. Un climat approprié est une condition nécessaire pour permettre la présence durable d’une essence.</w:t>
      </w:r>
    </w:p>
    <w:p w:rsidR="001F2250" w:rsidRPr="00FC78F8" w:rsidRDefault="001F2250" w:rsidP="001F2250">
      <w:pPr>
        <w:pStyle w:val="NormalWeb"/>
        <w:jc w:val="both"/>
        <w:rPr>
          <w:rFonts w:asciiTheme="minorHAnsi" w:hAnsiTheme="minorHAnsi" w:cstheme="minorHAnsi"/>
          <w:sz w:val="22"/>
          <w:szCs w:val="22"/>
        </w:rPr>
      </w:pPr>
      <w:r w:rsidRPr="002E370A">
        <w:rPr>
          <w:rFonts w:asciiTheme="minorHAnsi" w:hAnsiTheme="minorHAnsi" w:cstheme="minorHAnsi"/>
          <w:noProof/>
          <w:sz w:val="22"/>
          <w:szCs w:val="22"/>
        </w:rPr>
        <w:drawing>
          <wp:inline distT="0" distB="0" distL="0" distR="0">
            <wp:extent cx="5365750" cy="3447634"/>
            <wp:effectExtent l="19050" t="19050" r="25400" b="19685"/>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0753" cy="3515101"/>
                    </a:xfrm>
                    <a:prstGeom prst="rect">
                      <a:avLst/>
                    </a:prstGeom>
                    <a:noFill/>
                    <a:ln w="12700">
                      <a:solidFill>
                        <a:schemeClr val="tx1"/>
                      </a:solidFill>
                    </a:ln>
                  </pic:spPr>
                </pic:pic>
              </a:graphicData>
            </a:graphic>
          </wp:inline>
        </w:drawing>
      </w:r>
    </w:p>
    <w:p w:rsidR="001F2250" w:rsidRDefault="001F2250" w:rsidP="001F2250"/>
    <w:p w:rsidR="001F2250" w:rsidRDefault="001F2250" w:rsidP="001F2250">
      <w:r>
        <w:rPr>
          <w:noProof/>
          <w:lang w:eastAsia="fr-FR"/>
        </w:rPr>
        <w:drawing>
          <wp:anchor distT="0" distB="0" distL="114300" distR="114300" simplePos="0" relativeHeight="251660288" behindDoc="0" locked="0" layoutInCell="1" allowOverlap="1">
            <wp:simplePos x="0" y="0"/>
            <wp:positionH relativeFrom="column">
              <wp:posOffset>22038</wp:posOffset>
            </wp:positionH>
            <wp:positionV relativeFrom="paragraph">
              <wp:posOffset>16249</wp:posOffset>
            </wp:positionV>
            <wp:extent cx="5056016" cy="3185646"/>
            <wp:effectExtent l="19050" t="19050" r="11430" b="152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6016" cy="3185646"/>
                    </a:xfrm>
                    <a:prstGeom prst="rect">
                      <a:avLst/>
                    </a:prstGeom>
                    <a:noFill/>
                    <a:ln w="12700">
                      <a:solidFill>
                        <a:schemeClr val="tx1"/>
                      </a:solidFill>
                    </a:ln>
                  </pic:spPr>
                </pic:pic>
              </a:graphicData>
            </a:graphic>
          </wp:anchor>
        </w:drawing>
      </w:r>
      <w:r>
        <w:t>Le scénario SRES A2 correspond à la modélisation du climat dans les rapports du GIEC de 2001 et 2007 dans les conditions suivantes : « </w:t>
      </w:r>
      <w:r w:rsidRPr="0064055B">
        <w:rPr>
          <w:i/>
          <w:iCs/>
          <w:sz w:val="20"/>
          <w:szCs w:val="20"/>
        </w:rPr>
        <w:t xml:space="preserve">Elle prévoit un monde beaucoup plus hétérogène : la croissance économique et le développement des technologies énergétiquement efficaces sont très variables selon les régions et la population atteint 15 milliards </w:t>
      </w:r>
      <w:r w:rsidRPr="0064055B">
        <w:rPr>
          <w:i/>
          <w:iCs/>
          <w:sz w:val="20"/>
          <w:szCs w:val="20"/>
        </w:rPr>
        <w:lastRenderedPageBreak/>
        <w:t>d'habitants à la fin du siècle sans cesser de croître. »</w:t>
      </w:r>
    </w:p>
    <w:p w:rsidR="001F2250" w:rsidRDefault="001F2250" w:rsidP="001F2250"/>
    <w:p w:rsidR="001F2250" w:rsidRDefault="001F2250" w:rsidP="001F2250">
      <w:r>
        <w:rPr>
          <w:noProof/>
          <w:lang w:eastAsia="fr-FR"/>
        </w:rPr>
        <w:drawing>
          <wp:anchor distT="0" distB="0" distL="114300" distR="114300" simplePos="0" relativeHeight="251661312" behindDoc="0" locked="0" layoutInCell="1" allowOverlap="1">
            <wp:simplePos x="0" y="0"/>
            <wp:positionH relativeFrom="column">
              <wp:posOffset>22038</wp:posOffset>
            </wp:positionH>
            <wp:positionV relativeFrom="paragraph">
              <wp:posOffset>22038</wp:posOffset>
            </wp:positionV>
            <wp:extent cx="4721225" cy="5295265"/>
            <wp:effectExtent l="19050" t="19050" r="22225" b="19685"/>
            <wp:wrapSquare wrapText="bothSides"/>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1225" cy="5295265"/>
                    </a:xfrm>
                    <a:prstGeom prst="rect">
                      <a:avLst/>
                    </a:prstGeom>
                    <a:noFill/>
                    <a:ln w="12700">
                      <a:solidFill>
                        <a:schemeClr val="tx1"/>
                      </a:solidFill>
                    </a:ln>
                  </pic:spPr>
                </pic:pic>
              </a:graphicData>
            </a:graphic>
          </wp:anchor>
        </w:drawing>
      </w:r>
      <w:r>
        <w:t xml:space="preserve">Les groupes biogéographiques représentés par différentes couleurs sur la carte correspondent à des associations d’espèces d’arbres observées dans une zone climatique. </w:t>
      </w:r>
    </w:p>
    <w:p w:rsidR="001F2250" w:rsidRDefault="001F2250" w:rsidP="001F2250">
      <w:pPr>
        <w:rPr>
          <w:u w:val="single"/>
        </w:rPr>
      </w:pPr>
    </w:p>
    <w:p w:rsidR="001F2250" w:rsidRDefault="001F2250" w:rsidP="001F2250">
      <w:pPr>
        <w:rPr>
          <w:u w:val="single"/>
        </w:rPr>
      </w:pPr>
    </w:p>
    <w:p w:rsidR="001F2250" w:rsidRDefault="001F2250" w:rsidP="001F2250">
      <w:pPr>
        <w:rPr>
          <w:u w:val="single"/>
        </w:rPr>
      </w:pPr>
    </w:p>
    <w:p w:rsidR="001F2250" w:rsidRDefault="001F2250" w:rsidP="001F2250">
      <w:pPr>
        <w:rPr>
          <w:u w:val="single"/>
        </w:rPr>
      </w:pPr>
    </w:p>
    <w:p w:rsidR="001F2250" w:rsidRDefault="001F2250" w:rsidP="001F2250">
      <w:pPr>
        <w:rPr>
          <w:u w:val="single"/>
        </w:rPr>
      </w:pPr>
    </w:p>
    <w:p w:rsidR="001F2250" w:rsidRDefault="001F2250" w:rsidP="001F2250">
      <w:pPr>
        <w:rPr>
          <w:u w:val="single"/>
        </w:rPr>
      </w:pPr>
    </w:p>
    <w:p w:rsidR="001F2250" w:rsidRDefault="001F2250" w:rsidP="001F2250">
      <w:pPr>
        <w:rPr>
          <w:u w:val="single"/>
        </w:rPr>
      </w:pPr>
    </w:p>
    <w:p w:rsidR="001F2250" w:rsidRDefault="001F2250" w:rsidP="001F2250">
      <w:pPr>
        <w:rPr>
          <w:u w:val="single"/>
        </w:rPr>
      </w:pPr>
    </w:p>
    <w:p w:rsidR="001F2250" w:rsidRDefault="001F2250" w:rsidP="001F2250">
      <w:pPr>
        <w:rPr>
          <w:u w:val="single"/>
        </w:rPr>
      </w:pPr>
    </w:p>
    <w:p w:rsidR="001F2250" w:rsidRDefault="001F2250" w:rsidP="001F2250">
      <w:pPr>
        <w:rPr>
          <w:u w:val="single"/>
        </w:rPr>
      </w:pPr>
    </w:p>
    <w:p w:rsidR="001F2250" w:rsidRDefault="001F2250" w:rsidP="001F2250">
      <w:pPr>
        <w:rPr>
          <w:u w:val="single"/>
        </w:rPr>
      </w:pPr>
    </w:p>
    <w:p w:rsidR="001F2250" w:rsidRDefault="001F2250" w:rsidP="001F2250">
      <w:pPr>
        <w:rPr>
          <w:u w:val="single"/>
        </w:rPr>
      </w:pPr>
    </w:p>
    <w:p w:rsidR="001F2250" w:rsidRDefault="001F2250" w:rsidP="001F2250">
      <w:pPr>
        <w:rPr>
          <w:u w:val="single"/>
        </w:rPr>
      </w:pPr>
    </w:p>
    <w:p w:rsidR="001F2250" w:rsidRDefault="001F2250" w:rsidP="001F2250">
      <w:pPr>
        <w:rPr>
          <w:u w:val="single"/>
        </w:rPr>
      </w:pPr>
    </w:p>
    <w:p w:rsidR="001F2250" w:rsidRDefault="001F2250" w:rsidP="001F2250">
      <w:pPr>
        <w:rPr>
          <w:u w:val="single"/>
        </w:rPr>
      </w:pPr>
    </w:p>
    <w:p w:rsidR="001F2250" w:rsidRDefault="001F2250" w:rsidP="001F2250">
      <w:r w:rsidRPr="00992210">
        <w:rPr>
          <w:u w:val="single"/>
        </w:rPr>
        <w:t>Document 2b</w:t>
      </w:r>
      <w:r>
        <w:t> : Application pour visualiser l’évolution du climat par région depuis 1959 et jusqu’à 2100</w:t>
      </w:r>
    </w:p>
    <w:p w:rsidR="001F2250" w:rsidRDefault="001F2250" w:rsidP="001F2250">
      <w:r>
        <w:t>Niveau débutant</w:t>
      </w:r>
    </w:p>
    <w:p w:rsidR="001F2250" w:rsidRDefault="005858F5" w:rsidP="001F2250">
      <w:hyperlink r:id="rId13" w:history="1">
        <w:r w:rsidR="001F2250" w:rsidRPr="00D64A00">
          <w:rPr>
            <w:rStyle w:val="Lienhypertexte"/>
          </w:rPr>
          <w:t>http://www.meteofrance.fr/climat-passe-et-futur/climathd</w:t>
        </w:r>
      </w:hyperlink>
    </w:p>
    <w:p w:rsidR="001F2250" w:rsidRDefault="001F2250" w:rsidP="001F2250">
      <w:r>
        <w:t>Niveau confirmé :</w:t>
      </w:r>
    </w:p>
    <w:p w:rsidR="001F2250" w:rsidRDefault="005858F5" w:rsidP="001F2250">
      <w:hyperlink r:id="rId14" w:history="1">
        <w:r w:rsidR="001F2250" w:rsidRPr="00D64A00">
          <w:rPr>
            <w:rStyle w:val="Lienhypertexte"/>
          </w:rPr>
          <w:t>http://www.drias-climat.fr/</w:t>
        </w:r>
      </w:hyperlink>
    </w:p>
    <w:p w:rsidR="001F2250" w:rsidRDefault="001F2250" w:rsidP="001F2250"/>
    <w:p w:rsidR="001F2250" w:rsidRDefault="001F2250" w:rsidP="001F2250">
      <w:r>
        <w:br w:type="page"/>
      </w:r>
    </w:p>
    <w:p w:rsidR="001F2250" w:rsidRPr="004C47B9" w:rsidRDefault="001F2250" w:rsidP="001F2250">
      <w:pPr>
        <w:rPr>
          <w:sz w:val="14"/>
          <w:szCs w:val="14"/>
        </w:rPr>
      </w:pPr>
      <w:r>
        <w:lastRenderedPageBreak/>
        <w:t xml:space="preserve">Doc 2c : Les attaques de </w:t>
      </w:r>
      <w:proofErr w:type="gramStart"/>
      <w:r>
        <w:t>scolytes</w:t>
      </w:r>
      <w:r w:rsidRPr="004C47B9">
        <w:rPr>
          <w:sz w:val="14"/>
          <w:szCs w:val="14"/>
        </w:rPr>
        <w:t>(</w:t>
      </w:r>
      <w:proofErr w:type="gramEnd"/>
      <w:r w:rsidRPr="004C47B9">
        <w:rPr>
          <w:sz w:val="14"/>
          <w:szCs w:val="14"/>
        </w:rPr>
        <w:t xml:space="preserve">source : </w:t>
      </w:r>
      <w:hyperlink r:id="rId15" w:history="1">
        <w:r w:rsidRPr="0061712D">
          <w:rPr>
            <w:rStyle w:val="Lienhypertexte"/>
            <w:sz w:val="14"/>
            <w:szCs w:val="14"/>
          </w:rPr>
          <w:t>https://www.efa-cgc.net/app/download/13307390736/Doc%20AN%20SENAT%20VFinale20191030.pdf?t=1573655565%20%20</w:t>
        </w:r>
      </w:hyperlink>
      <w:r w:rsidRPr="004C47B9">
        <w:rPr>
          <w:sz w:val="14"/>
          <w:szCs w:val="14"/>
        </w:rPr>
        <w:t>)</w:t>
      </w:r>
    </w:p>
    <w:p w:rsidR="001F2250" w:rsidRDefault="001F2250" w:rsidP="001F2250">
      <w:r>
        <w:t xml:space="preserve">Qu’est-ce qu’un scolyte ? </w:t>
      </w:r>
      <w:hyperlink r:id="rId16" w:history="1">
        <w:r w:rsidRPr="0061712D">
          <w:rPr>
            <w:rStyle w:val="Lienhypertexte"/>
          </w:rPr>
          <w:t>https://www.youtube.com/watch?v=JR0W6sP8aSo</w:t>
        </w:r>
      </w:hyperlink>
    </w:p>
    <w:p w:rsidR="001F2250" w:rsidRDefault="001F2250" w:rsidP="001F2250">
      <w:r>
        <w:rPr>
          <w:noProof/>
          <w:lang w:eastAsia="fr-FR"/>
        </w:rPr>
        <w:drawing>
          <wp:anchor distT="0" distB="0" distL="114300" distR="114300" simplePos="0" relativeHeight="251662336" behindDoc="0" locked="0" layoutInCell="1" allowOverlap="1">
            <wp:simplePos x="0" y="0"/>
            <wp:positionH relativeFrom="margin">
              <wp:align>left</wp:align>
            </wp:positionH>
            <wp:positionV relativeFrom="paragraph">
              <wp:posOffset>121023</wp:posOffset>
            </wp:positionV>
            <wp:extent cx="3718112" cy="2548298"/>
            <wp:effectExtent l="19050" t="19050" r="15875" b="23495"/>
            <wp:wrapSquare wrapText="bothSides"/>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18112" cy="2548298"/>
                    </a:xfrm>
                    <a:prstGeom prst="rect">
                      <a:avLst/>
                    </a:prstGeom>
                    <a:ln w="12700">
                      <a:solidFill>
                        <a:schemeClr val="tx1"/>
                      </a:solidFill>
                    </a:ln>
                  </pic:spPr>
                </pic:pic>
              </a:graphicData>
            </a:graphic>
          </wp:anchor>
        </w:drawing>
      </w:r>
    </w:p>
    <w:p w:rsidR="001F2250" w:rsidRDefault="001F2250" w:rsidP="001F2250"/>
    <w:p w:rsidR="001F2250" w:rsidRDefault="001F2250" w:rsidP="001F2250">
      <w:pPr>
        <w:autoSpaceDE w:val="0"/>
        <w:autoSpaceDN w:val="0"/>
        <w:adjustRightInd w:val="0"/>
        <w:spacing w:after="0" w:line="240" w:lineRule="auto"/>
        <w:rPr>
          <w:rFonts w:ascii="Calibri" w:hAnsi="Calibri" w:cs="Calibri"/>
          <w:sz w:val="24"/>
          <w:szCs w:val="24"/>
        </w:rPr>
      </w:pPr>
      <w:r>
        <w:rPr>
          <w:rFonts w:ascii="Calibri" w:hAnsi="Calibri" w:cs="Calibri"/>
          <w:sz w:val="24"/>
          <w:szCs w:val="24"/>
        </w:rPr>
        <w:t>La Direction de la santé des forêts constate, au-delà de cette crise scolytes, que le dérèglement climatique</w:t>
      </w:r>
    </w:p>
    <w:p w:rsidR="001F2250" w:rsidRDefault="001F2250" w:rsidP="001F2250">
      <w:pPr>
        <w:autoSpaceDE w:val="0"/>
        <w:autoSpaceDN w:val="0"/>
        <w:adjustRightInd w:val="0"/>
        <w:spacing w:after="0" w:line="240" w:lineRule="auto"/>
        <w:rPr>
          <w:rFonts w:ascii="Calibri" w:hAnsi="Calibri" w:cs="Calibri"/>
          <w:sz w:val="24"/>
          <w:szCs w:val="24"/>
        </w:rPr>
      </w:pPr>
      <w:r>
        <w:rPr>
          <w:rFonts w:ascii="Calibri" w:hAnsi="Calibri" w:cs="Calibri"/>
          <w:sz w:val="24"/>
          <w:szCs w:val="24"/>
        </w:rPr>
        <w:t>(</w:t>
      </w:r>
      <w:proofErr w:type="gramStart"/>
      <w:r>
        <w:rPr>
          <w:rFonts w:ascii="Calibri" w:hAnsi="Calibri" w:cs="Calibri"/>
          <w:sz w:val="24"/>
          <w:szCs w:val="24"/>
        </w:rPr>
        <w:t>et</w:t>
      </w:r>
      <w:proofErr w:type="gramEnd"/>
      <w:r>
        <w:rPr>
          <w:rFonts w:ascii="Calibri" w:hAnsi="Calibri" w:cs="Calibri"/>
          <w:sz w:val="24"/>
          <w:szCs w:val="24"/>
        </w:rPr>
        <w:t xml:space="preserve"> en particulier les hivers doux et les sécheresses successives de 2018 et 2019) frappe en premier lieu la</w:t>
      </w:r>
    </w:p>
    <w:p w:rsidR="001F2250" w:rsidRDefault="001F2250" w:rsidP="001F2250">
      <w:pPr>
        <w:autoSpaceDE w:val="0"/>
        <w:autoSpaceDN w:val="0"/>
        <w:adjustRightInd w:val="0"/>
        <w:spacing w:after="0" w:line="240" w:lineRule="auto"/>
        <w:rPr>
          <w:rFonts w:ascii="Calibri" w:hAnsi="Calibri" w:cs="Calibri"/>
          <w:sz w:val="24"/>
          <w:szCs w:val="24"/>
        </w:rPr>
      </w:pPr>
      <w:proofErr w:type="gramStart"/>
      <w:r>
        <w:rPr>
          <w:rFonts w:ascii="Calibri" w:hAnsi="Calibri" w:cs="Calibri"/>
          <w:sz w:val="24"/>
          <w:szCs w:val="24"/>
        </w:rPr>
        <w:t>forêt</w:t>
      </w:r>
      <w:proofErr w:type="gramEnd"/>
      <w:r>
        <w:rPr>
          <w:rFonts w:ascii="Calibri" w:hAnsi="Calibri" w:cs="Calibri"/>
          <w:sz w:val="24"/>
          <w:szCs w:val="24"/>
        </w:rPr>
        <w:t xml:space="preserve"> et se traduit par une forte augmentation des ravageurs et des dépérissements. Les constats de la DSF</w:t>
      </w:r>
    </w:p>
    <w:p w:rsidR="001F2250" w:rsidRDefault="001F2250" w:rsidP="001F2250">
      <w:pPr>
        <w:autoSpaceDE w:val="0"/>
        <w:autoSpaceDN w:val="0"/>
        <w:adjustRightInd w:val="0"/>
        <w:spacing w:after="0" w:line="240" w:lineRule="auto"/>
        <w:rPr>
          <w:rFonts w:ascii="Calibri" w:hAnsi="Calibri" w:cs="Calibri"/>
          <w:sz w:val="24"/>
          <w:szCs w:val="24"/>
        </w:rPr>
      </w:pPr>
      <w:proofErr w:type="gramStart"/>
      <w:r>
        <w:rPr>
          <w:rFonts w:ascii="Calibri" w:hAnsi="Calibri" w:cs="Calibri"/>
          <w:sz w:val="24"/>
          <w:szCs w:val="24"/>
        </w:rPr>
        <w:t>sont</w:t>
      </w:r>
      <w:proofErr w:type="gramEnd"/>
      <w:r>
        <w:rPr>
          <w:rFonts w:ascii="Calibri" w:hAnsi="Calibri" w:cs="Calibri"/>
          <w:sz w:val="24"/>
          <w:szCs w:val="24"/>
        </w:rPr>
        <w:t xml:space="preserve"> éloquents et pour le dépérissement, les feuillus sont également particulièrement impactés. Par</w:t>
      </w:r>
    </w:p>
    <w:p w:rsidR="001F2250" w:rsidRDefault="001F2250" w:rsidP="001F2250">
      <w:pPr>
        <w:autoSpaceDE w:val="0"/>
        <w:autoSpaceDN w:val="0"/>
        <w:adjustRightInd w:val="0"/>
        <w:spacing w:after="0" w:line="240" w:lineRule="auto"/>
        <w:rPr>
          <w:rFonts w:ascii="Calibri" w:hAnsi="Calibri" w:cs="Calibri"/>
          <w:sz w:val="24"/>
          <w:szCs w:val="24"/>
        </w:rPr>
      </w:pPr>
      <w:proofErr w:type="gramStart"/>
      <w:r>
        <w:rPr>
          <w:rFonts w:ascii="Calibri" w:hAnsi="Calibri" w:cs="Calibri"/>
          <w:sz w:val="24"/>
          <w:szCs w:val="24"/>
        </w:rPr>
        <w:t>exemple</w:t>
      </w:r>
      <w:proofErr w:type="gramEnd"/>
      <w:r>
        <w:rPr>
          <w:rFonts w:ascii="Calibri" w:hAnsi="Calibri" w:cs="Calibri"/>
          <w:sz w:val="24"/>
          <w:szCs w:val="24"/>
        </w:rPr>
        <w:t>, pour le hêtre, on relève 2 fois le niveau habituel de dégâts notamment en Bourgogne – Franche-</w:t>
      </w:r>
    </w:p>
    <w:p w:rsidR="001F2250" w:rsidRDefault="001F2250" w:rsidP="001F2250">
      <w:pPr>
        <w:autoSpaceDE w:val="0"/>
        <w:autoSpaceDN w:val="0"/>
        <w:adjustRightInd w:val="0"/>
        <w:spacing w:after="0" w:line="240" w:lineRule="auto"/>
        <w:rPr>
          <w:rFonts w:ascii="Calibri" w:hAnsi="Calibri" w:cs="Calibri"/>
          <w:sz w:val="24"/>
          <w:szCs w:val="24"/>
        </w:rPr>
      </w:pPr>
      <w:r>
        <w:rPr>
          <w:rFonts w:ascii="Calibri" w:hAnsi="Calibri" w:cs="Calibri"/>
          <w:sz w:val="24"/>
          <w:szCs w:val="24"/>
        </w:rPr>
        <w:t>Comté et en Grand Est. Le Chêne également subit un dépérissement accéléré comme par exemple en</w:t>
      </w:r>
    </w:p>
    <w:p w:rsidR="001F2250" w:rsidRDefault="001F2250" w:rsidP="001F2250">
      <w:pPr>
        <w:rPr>
          <w:rFonts w:ascii="Calibri" w:hAnsi="Calibri" w:cs="Calibri"/>
          <w:sz w:val="24"/>
          <w:szCs w:val="24"/>
        </w:rPr>
      </w:pPr>
      <w:proofErr w:type="gramStart"/>
      <w:r>
        <w:rPr>
          <w:rFonts w:ascii="Calibri" w:hAnsi="Calibri" w:cs="Calibri"/>
          <w:sz w:val="24"/>
          <w:szCs w:val="24"/>
        </w:rPr>
        <w:t>forêts</w:t>
      </w:r>
      <w:proofErr w:type="gramEnd"/>
      <w:r>
        <w:rPr>
          <w:rFonts w:ascii="Calibri" w:hAnsi="Calibri" w:cs="Calibri"/>
          <w:sz w:val="24"/>
          <w:szCs w:val="24"/>
        </w:rPr>
        <w:t xml:space="preserve"> de Compiègne et de Chantilly…</w:t>
      </w:r>
    </w:p>
    <w:p w:rsidR="001F2250" w:rsidRDefault="001F2250" w:rsidP="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rsidP="001F2250">
      <w:pPr>
        <w:pStyle w:val="Standard"/>
      </w:pPr>
      <w:r>
        <w:rPr>
          <w:b/>
          <w:bCs/>
        </w:rPr>
        <w:lastRenderedPageBreak/>
        <w:t>Document 3 :</w:t>
      </w:r>
      <w:r>
        <w:t xml:space="preserve"> Les services écosystémiques (source FAO)</w:t>
      </w:r>
    </w:p>
    <w:p w:rsidR="001F2250" w:rsidRDefault="001F2250" w:rsidP="001F2250">
      <w:pPr>
        <w:pStyle w:val="Titre2"/>
      </w:pPr>
      <w:r>
        <w:rPr>
          <w:b w:val="0"/>
          <w:bCs w:val="0"/>
          <w:sz w:val="24"/>
          <w:szCs w:val="24"/>
        </w:rPr>
        <w:t xml:space="preserve">Les services écosystémiques sont les multiples avantages que la nature apporte à la société. (…). Les </w:t>
      </w:r>
      <w:r>
        <w:rPr>
          <w:rStyle w:val="StrongEmphasis"/>
          <w:sz w:val="24"/>
          <w:szCs w:val="24"/>
        </w:rPr>
        <w:t>services écosystémiques</w:t>
      </w:r>
      <w:r>
        <w:rPr>
          <w:b w:val="0"/>
          <w:bCs w:val="0"/>
          <w:sz w:val="24"/>
          <w:szCs w:val="24"/>
        </w:rPr>
        <w:t xml:space="preserve"> rendent la vie humaine possible, par exemple en fournissant des aliments nutritifs et de l'eau propre, en régulant les maladies et le climat, en contribuant à la pollinisation des cultures et à la formation des sols et en fournissant des avantages récréatifs, culturels et spirituels.</w:t>
      </w:r>
    </w:p>
    <w:p w:rsidR="001F2250" w:rsidRDefault="001F2250" w:rsidP="001F2250">
      <w:pPr>
        <w:pStyle w:val="Standard"/>
      </w:pPr>
      <w:r>
        <w:rPr>
          <w:noProof/>
          <w:lang w:eastAsia="fr-FR" w:bidi="ar-SA"/>
        </w:rPr>
        <w:drawing>
          <wp:anchor distT="0" distB="0" distL="114300" distR="114300" simplePos="0" relativeHeight="251664384" behindDoc="0" locked="0" layoutInCell="1" allowOverlap="1">
            <wp:simplePos x="0" y="0"/>
            <wp:positionH relativeFrom="column">
              <wp:posOffset>661680</wp:posOffset>
            </wp:positionH>
            <wp:positionV relativeFrom="paragraph">
              <wp:posOffset>126360</wp:posOffset>
            </wp:positionV>
            <wp:extent cx="4628520" cy="2828880"/>
            <wp:effectExtent l="0" t="0" r="630" b="0"/>
            <wp:wrapSquare wrapText="bothSides"/>
            <wp:docPr id="7"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4628520" cy="2828880"/>
                    </a:xfrm>
                    <a:prstGeom prst="rect">
                      <a:avLst/>
                    </a:prstGeom>
                  </pic:spPr>
                </pic:pic>
              </a:graphicData>
            </a:graphic>
          </wp:anchor>
        </w:drawing>
      </w:r>
    </w:p>
    <w:p w:rsidR="001F2250" w:rsidRDefault="001F2250" w:rsidP="001F2250">
      <w:pPr>
        <w:pStyle w:val="Standard"/>
      </w:pPr>
    </w:p>
    <w:p w:rsidR="001F2250" w:rsidRDefault="001F2250" w:rsidP="001F2250">
      <w:pPr>
        <w:pStyle w:val="Standard"/>
      </w:pPr>
    </w:p>
    <w:p w:rsidR="001F2250" w:rsidRDefault="001F2250" w:rsidP="001F2250">
      <w:pPr>
        <w:pStyle w:val="Standard"/>
      </w:pPr>
    </w:p>
    <w:p w:rsidR="001F2250" w:rsidRDefault="001F2250" w:rsidP="001F2250">
      <w:pPr>
        <w:pStyle w:val="Standard"/>
      </w:pPr>
    </w:p>
    <w:p w:rsidR="001F2250" w:rsidRDefault="001F2250" w:rsidP="001F2250">
      <w:pPr>
        <w:pStyle w:val="Standard"/>
      </w:pPr>
    </w:p>
    <w:p w:rsidR="001F2250" w:rsidRDefault="001F2250" w:rsidP="001F2250">
      <w:pPr>
        <w:pStyle w:val="Standard"/>
      </w:pPr>
    </w:p>
    <w:p w:rsidR="001F2250" w:rsidRDefault="001F2250" w:rsidP="001F2250">
      <w:pPr>
        <w:pStyle w:val="Standard"/>
      </w:pPr>
    </w:p>
    <w:p w:rsidR="001F2250" w:rsidRDefault="001F2250" w:rsidP="001F2250">
      <w:pPr>
        <w:pStyle w:val="Standard"/>
      </w:pPr>
    </w:p>
    <w:p w:rsidR="001F2250" w:rsidRDefault="001F2250" w:rsidP="001F2250">
      <w:pPr>
        <w:pStyle w:val="Standard"/>
      </w:pPr>
    </w:p>
    <w:p w:rsidR="001F2250" w:rsidRDefault="001F2250" w:rsidP="001F2250">
      <w:pPr>
        <w:pStyle w:val="Standard"/>
      </w:pPr>
    </w:p>
    <w:p w:rsidR="001F2250" w:rsidRDefault="001F2250" w:rsidP="001F2250">
      <w:pPr>
        <w:pStyle w:val="Standard"/>
      </w:pPr>
    </w:p>
    <w:p w:rsidR="001F2250" w:rsidRDefault="001F2250" w:rsidP="001F2250">
      <w:pPr>
        <w:pStyle w:val="Standard"/>
      </w:pPr>
    </w:p>
    <w:p w:rsidR="001F2250" w:rsidRDefault="001F2250" w:rsidP="001F2250">
      <w:pPr>
        <w:pStyle w:val="Standard"/>
      </w:pPr>
    </w:p>
    <w:p w:rsidR="001F2250" w:rsidRDefault="001F2250" w:rsidP="001F2250">
      <w:pPr>
        <w:pStyle w:val="Standard"/>
      </w:pPr>
    </w:p>
    <w:p w:rsidR="001F2250" w:rsidRDefault="001F2250" w:rsidP="001F2250">
      <w:pPr>
        <w:pStyle w:val="Standard"/>
      </w:pPr>
    </w:p>
    <w:p w:rsidR="001F2250" w:rsidRDefault="001F2250" w:rsidP="001F2250">
      <w:pPr>
        <w:pStyle w:val="Standard"/>
      </w:pPr>
    </w:p>
    <w:p w:rsidR="001F2250" w:rsidRDefault="001F2250" w:rsidP="001F2250">
      <w:pPr>
        <w:pStyle w:val="Standard"/>
      </w:pPr>
    </w:p>
    <w:p w:rsidR="001F2250" w:rsidRDefault="001F2250" w:rsidP="001F2250">
      <w:pPr>
        <w:pStyle w:val="Standard"/>
      </w:pPr>
    </w:p>
    <w:p w:rsidR="001F2250" w:rsidRDefault="001F2250" w:rsidP="001F2250">
      <w:pPr>
        <w:pStyle w:val="Standard"/>
      </w:pPr>
      <w:r>
        <w:rPr>
          <w:noProof/>
          <w:lang w:eastAsia="fr-FR" w:bidi="ar-SA"/>
        </w:rPr>
        <w:drawing>
          <wp:anchor distT="0" distB="0" distL="114300" distR="114300" simplePos="0" relativeHeight="251665408" behindDoc="0" locked="0" layoutInCell="1" allowOverlap="1">
            <wp:simplePos x="0" y="0"/>
            <wp:positionH relativeFrom="column">
              <wp:posOffset>1144046</wp:posOffset>
            </wp:positionH>
            <wp:positionV relativeFrom="paragraph">
              <wp:posOffset>343087</wp:posOffset>
            </wp:positionV>
            <wp:extent cx="4253865" cy="4053840"/>
            <wp:effectExtent l="0" t="0" r="0" b="3810"/>
            <wp:wrapSquare wrapText="bothSides"/>
            <wp:docPr id="8"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4253865" cy="4053840"/>
                    </a:xfrm>
                    <a:prstGeom prst="rect">
                      <a:avLst/>
                    </a:prstGeom>
                  </pic:spPr>
                </pic:pic>
              </a:graphicData>
            </a:graphic>
          </wp:anchor>
        </w:drawing>
      </w:r>
    </w:p>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Default="001F2250"/>
    <w:p w:rsidR="001F2250" w:rsidRPr="00CB43F3" w:rsidRDefault="001F2250" w:rsidP="001F2250">
      <w:pPr>
        <w:rPr>
          <w:sz w:val="24"/>
          <w:szCs w:val="24"/>
        </w:rPr>
      </w:pPr>
      <w:r w:rsidRPr="00CB43F3">
        <w:rPr>
          <w:sz w:val="24"/>
          <w:szCs w:val="24"/>
          <w:u w:val="single"/>
        </w:rPr>
        <w:lastRenderedPageBreak/>
        <w:t>Document 4</w:t>
      </w:r>
      <w:r w:rsidRPr="00CB43F3">
        <w:rPr>
          <w:sz w:val="24"/>
          <w:szCs w:val="24"/>
        </w:rPr>
        <w:t> : Biodiversité dans la forêt de Haguenau</w:t>
      </w:r>
    </w:p>
    <w:p w:rsidR="001F2250" w:rsidRPr="00CB43F3" w:rsidRDefault="001F2250" w:rsidP="001F2250">
      <w:pPr>
        <w:rPr>
          <w:sz w:val="24"/>
          <w:szCs w:val="24"/>
        </w:rPr>
      </w:pPr>
      <w:r w:rsidRPr="00CB43F3">
        <w:rPr>
          <w:sz w:val="24"/>
          <w:szCs w:val="24"/>
          <w:u w:val="single"/>
        </w:rPr>
        <w:t>Document 4a :</w:t>
      </w:r>
      <w:r w:rsidRPr="00CB43F3">
        <w:rPr>
          <w:sz w:val="24"/>
          <w:szCs w:val="24"/>
        </w:rPr>
        <w:t xml:space="preserve"> Evolution des espèces d’arbres</w:t>
      </w:r>
    </w:p>
    <w:p w:rsidR="001F2250" w:rsidRDefault="001F2250" w:rsidP="001F2250">
      <w:r>
        <w:rPr>
          <w:noProof/>
          <w:lang w:eastAsia="fr-FR"/>
        </w:rPr>
        <w:drawing>
          <wp:inline distT="0" distB="0" distL="0" distR="3810">
            <wp:extent cx="4035425" cy="711835"/>
            <wp:effectExtent l="0" t="0" r="0" b="0"/>
            <wp:docPr id="23" name="Google Shape;188;p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oogle Shape;188;p30"/>
                    <pic:cNvPicPr>
                      <a:picLocks noChangeAspect="1" noChangeArrowheads="1"/>
                    </pic:cNvPicPr>
                  </pic:nvPicPr>
                  <pic:blipFill>
                    <a:blip r:embed="rId20"/>
                    <a:stretch>
                      <a:fillRect/>
                    </a:stretch>
                  </pic:blipFill>
                  <pic:spPr bwMode="auto">
                    <a:xfrm>
                      <a:off x="0" y="0"/>
                      <a:ext cx="4035425" cy="711835"/>
                    </a:xfrm>
                    <a:prstGeom prst="rect">
                      <a:avLst/>
                    </a:prstGeom>
                  </pic:spPr>
                </pic:pic>
              </a:graphicData>
            </a:graphic>
          </wp:inline>
        </w:drawing>
      </w:r>
    </w:p>
    <w:p w:rsidR="001F2250" w:rsidRDefault="001F2250" w:rsidP="001F2250">
      <w:r>
        <w:rPr>
          <w:noProof/>
          <w:lang w:eastAsia="fr-FR"/>
        </w:rPr>
        <w:drawing>
          <wp:inline distT="0" distB="4445" distL="0" distR="7620">
            <wp:extent cx="4012565" cy="3025140"/>
            <wp:effectExtent l="0" t="0" r="0" b="0"/>
            <wp:docPr id="24" name="Google Shape;187;p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oogle Shape;187;p30"/>
                    <pic:cNvPicPr>
                      <a:picLocks noChangeAspect="1" noChangeArrowheads="1"/>
                    </pic:cNvPicPr>
                  </pic:nvPicPr>
                  <pic:blipFill>
                    <a:blip r:embed="rId21"/>
                    <a:stretch>
                      <a:fillRect/>
                    </a:stretch>
                  </pic:blipFill>
                  <pic:spPr bwMode="auto">
                    <a:xfrm>
                      <a:off x="0" y="0"/>
                      <a:ext cx="4012565" cy="3025140"/>
                    </a:xfrm>
                    <a:prstGeom prst="rect">
                      <a:avLst/>
                    </a:prstGeom>
                  </pic:spPr>
                </pic:pic>
              </a:graphicData>
            </a:graphic>
          </wp:inline>
        </w:drawing>
      </w:r>
    </w:p>
    <w:p w:rsidR="001F2250" w:rsidRDefault="001F2250" w:rsidP="001F2250"/>
    <w:p w:rsidR="001F2250" w:rsidRPr="00CB43F3" w:rsidRDefault="001F2250" w:rsidP="001F2250">
      <w:pPr>
        <w:rPr>
          <w:sz w:val="24"/>
          <w:szCs w:val="24"/>
        </w:rPr>
      </w:pPr>
      <w:r w:rsidRPr="00CB43F3">
        <w:rPr>
          <w:sz w:val="24"/>
          <w:szCs w:val="24"/>
          <w:u w:val="single"/>
        </w:rPr>
        <w:t>Document 4b</w:t>
      </w:r>
      <w:r>
        <w:rPr>
          <w:sz w:val="24"/>
          <w:szCs w:val="24"/>
        </w:rPr>
        <w:t xml:space="preserve"> : </w:t>
      </w:r>
      <w:r w:rsidRPr="00CB43F3">
        <w:rPr>
          <w:sz w:val="24"/>
          <w:szCs w:val="24"/>
        </w:rPr>
        <w:t>Le bouleau : le gagnant actuel de la régénération naturelle</w:t>
      </w:r>
    </w:p>
    <w:p w:rsidR="001F2250" w:rsidRPr="00CB43F3" w:rsidRDefault="001F2250" w:rsidP="001F2250">
      <w:r w:rsidRPr="00CB43F3">
        <w:rPr>
          <w:rFonts w:eastAsia="Arial" w:cstheme="minorHAnsi"/>
          <w:sz w:val="24"/>
          <w:szCs w:val="24"/>
        </w:rPr>
        <w:t>De façon autonome, l’essence pionnière essentielle est le bouleau.</w:t>
      </w:r>
    </w:p>
    <w:p w:rsidR="001F2250" w:rsidRPr="00CB43F3" w:rsidRDefault="001F2250" w:rsidP="001F2250">
      <w:pPr>
        <w:numPr>
          <w:ilvl w:val="0"/>
          <w:numId w:val="1"/>
        </w:numPr>
        <w:spacing w:after="0" w:line="240" w:lineRule="auto"/>
        <w:rPr>
          <w:rFonts w:eastAsia="Arial" w:cstheme="minorHAnsi"/>
          <w:sz w:val="24"/>
          <w:szCs w:val="24"/>
        </w:rPr>
      </w:pPr>
      <w:r w:rsidRPr="00CB43F3">
        <w:rPr>
          <w:rFonts w:eastAsia="Arial" w:cstheme="minorHAnsi"/>
          <w:sz w:val="24"/>
          <w:szCs w:val="24"/>
        </w:rPr>
        <w:t>1 100 ha (20 %) 5 ans après</w:t>
      </w:r>
    </w:p>
    <w:p w:rsidR="001F2250" w:rsidRPr="00CB43F3" w:rsidRDefault="001F2250" w:rsidP="001F2250">
      <w:pPr>
        <w:numPr>
          <w:ilvl w:val="0"/>
          <w:numId w:val="1"/>
        </w:numPr>
        <w:spacing w:after="0" w:line="240" w:lineRule="auto"/>
        <w:rPr>
          <w:rFonts w:eastAsia="Arial" w:cstheme="minorHAnsi"/>
          <w:sz w:val="24"/>
          <w:szCs w:val="24"/>
        </w:rPr>
      </w:pPr>
      <w:r w:rsidRPr="00CB43F3">
        <w:rPr>
          <w:rFonts w:eastAsia="Arial" w:cstheme="minorHAnsi"/>
          <w:sz w:val="24"/>
          <w:szCs w:val="24"/>
        </w:rPr>
        <w:t>1 300 ha (25 %) 20 ans après</w:t>
      </w:r>
    </w:p>
    <w:p w:rsidR="001F2250" w:rsidRPr="00CB43F3" w:rsidRDefault="001F2250" w:rsidP="001F2250">
      <w:pPr>
        <w:numPr>
          <w:ilvl w:val="0"/>
          <w:numId w:val="2"/>
        </w:numPr>
        <w:spacing w:after="0" w:line="240" w:lineRule="auto"/>
        <w:rPr>
          <w:rFonts w:eastAsia="Arial" w:cstheme="minorHAnsi"/>
          <w:sz w:val="24"/>
          <w:szCs w:val="24"/>
        </w:rPr>
      </w:pPr>
      <w:r w:rsidRPr="00CB43F3">
        <w:rPr>
          <w:rFonts w:eastAsia="Arial" w:cstheme="minorHAnsi"/>
          <w:sz w:val="24"/>
          <w:szCs w:val="24"/>
        </w:rPr>
        <w:t>Le bouleau produit du bois d’énergie dans 10 ans (2030</w:t>
      </w:r>
      <w:proofErr w:type="gramStart"/>
      <w:r w:rsidRPr="00CB43F3">
        <w:rPr>
          <w:rFonts w:eastAsia="Arial" w:cstheme="minorHAnsi"/>
          <w:sz w:val="24"/>
          <w:szCs w:val="24"/>
        </w:rPr>
        <w:t>) ,</w:t>
      </w:r>
      <w:proofErr w:type="gramEnd"/>
      <w:r w:rsidRPr="00CB43F3">
        <w:rPr>
          <w:rFonts w:eastAsia="Arial" w:cstheme="minorHAnsi"/>
          <w:sz w:val="24"/>
          <w:szCs w:val="24"/>
        </w:rPr>
        <w:t xml:space="preserve"> et du bois d’oeuvre dans 30 ans (2050);</w:t>
      </w:r>
    </w:p>
    <w:p w:rsidR="001F2250" w:rsidRPr="00CB43F3" w:rsidRDefault="001F2250" w:rsidP="001F2250">
      <w:pPr>
        <w:numPr>
          <w:ilvl w:val="0"/>
          <w:numId w:val="2"/>
        </w:numPr>
        <w:spacing w:after="0" w:line="240" w:lineRule="auto"/>
        <w:rPr>
          <w:rFonts w:eastAsia="Arial" w:cstheme="minorHAnsi"/>
          <w:sz w:val="24"/>
          <w:szCs w:val="24"/>
        </w:rPr>
      </w:pPr>
      <w:r w:rsidRPr="00CB43F3">
        <w:rPr>
          <w:rFonts w:eastAsia="Arial" w:cstheme="minorHAnsi"/>
          <w:sz w:val="24"/>
          <w:szCs w:val="24"/>
        </w:rPr>
        <w:t>A bois dense, homogène, comparable au hêtre considéré comme “bois noble”, et à large spectre d’utilisation : nécessité maintenant de créer et normaliser un marché…</w:t>
      </w:r>
    </w:p>
    <w:p w:rsidR="001F2250" w:rsidRPr="00CB43F3" w:rsidRDefault="001F2250" w:rsidP="001F2250">
      <w:pPr>
        <w:numPr>
          <w:ilvl w:val="0"/>
          <w:numId w:val="2"/>
        </w:numPr>
        <w:spacing w:after="0" w:line="240" w:lineRule="auto"/>
        <w:rPr>
          <w:rFonts w:cstheme="minorHAnsi"/>
          <w:sz w:val="24"/>
          <w:szCs w:val="24"/>
        </w:rPr>
      </w:pPr>
      <w:r w:rsidRPr="00CB43F3">
        <w:rPr>
          <w:rFonts w:eastAsia="Arial" w:cstheme="minorHAnsi"/>
          <w:sz w:val="24"/>
          <w:szCs w:val="24"/>
        </w:rPr>
        <w:t xml:space="preserve">La forêt de bouleau est une forêt transitoire avec arrivée progressive des « dryades », forêts de chênes ou de hêtres </w:t>
      </w:r>
      <w:hyperlink r:id="rId22">
        <w:r w:rsidRPr="00CB43F3">
          <w:rPr>
            <w:rStyle w:val="LienInternet"/>
            <w:rFonts w:eastAsia="Arial" w:cstheme="minorHAnsi"/>
            <w:i/>
            <w:iCs/>
            <w:sz w:val="24"/>
            <w:szCs w:val="24"/>
          </w:rPr>
          <w:t>voir aussi</w:t>
        </w:r>
      </w:hyperlink>
      <w:r w:rsidRPr="00CB43F3">
        <w:rPr>
          <w:rFonts w:eastAsia="Arial" w:cstheme="minorHAnsi"/>
          <w:sz w:val="24"/>
          <w:szCs w:val="24"/>
        </w:rPr>
        <w:t xml:space="preserve"> ou </w:t>
      </w:r>
      <w:hyperlink r:id="rId23">
        <w:r w:rsidRPr="00CB43F3">
          <w:rPr>
            <w:rStyle w:val="LienInternet"/>
            <w:rFonts w:eastAsia="Arial" w:cstheme="minorHAnsi"/>
            <w:i/>
            <w:iCs/>
            <w:sz w:val="24"/>
            <w:szCs w:val="24"/>
          </w:rPr>
          <w:t>encore</w:t>
        </w:r>
      </w:hyperlink>
      <w:r w:rsidRPr="00CB43F3">
        <w:rPr>
          <w:rFonts w:eastAsia="Arial" w:cstheme="minorHAnsi"/>
          <w:sz w:val="24"/>
          <w:szCs w:val="24"/>
        </w:rPr>
        <w:t>.</w:t>
      </w:r>
    </w:p>
    <w:p w:rsidR="001F2250" w:rsidRPr="00CB43F3" w:rsidRDefault="001F2250" w:rsidP="001F2250">
      <w:pPr>
        <w:ind w:left="360"/>
        <w:rPr>
          <w:rFonts w:eastAsia="Arial" w:cstheme="minorHAnsi"/>
          <w:sz w:val="24"/>
          <w:szCs w:val="24"/>
        </w:rPr>
      </w:pPr>
      <w:r w:rsidRPr="00CB43F3">
        <w:rPr>
          <w:rFonts w:eastAsia="Arial" w:cstheme="minorHAnsi"/>
          <w:sz w:val="24"/>
          <w:szCs w:val="24"/>
        </w:rPr>
        <w:t>- 6 ème feuillu en France, 3 ème en Europe (une essence de base avec l’épicéa et le pin sylvestre de la forêt nordique ou boréale)</w:t>
      </w:r>
    </w:p>
    <w:p w:rsidR="001F2250" w:rsidRPr="00CB43F3" w:rsidRDefault="001F2250" w:rsidP="001F2250">
      <w:pPr>
        <w:ind w:left="360"/>
        <w:rPr>
          <w:rFonts w:eastAsia="Arial" w:cstheme="minorHAnsi"/>
          <w:sz w:val="24"/>
          <w:szCs w:val="24"/>
        </w:rPr>
      </w:pPr>
      <w:r w:rsidRPr="00CB43F3">
        <w:rPr>
          <w:rFonts w:eastAsia="Arial" w:cstheme="minorHAnsi"/>
          <w:sz w:val="24"/>
          <w:szCs w:val="24"/>
        </w:rPr>
        <w:t>- s’installe sans frais sauf sur les sols tassés ou détériorés</w:t>
      </w:r>
    </w:p>
    <w:p w:rsidR="001F2250" w:rsidRPr="00CB43F3" w:rsidRDefault="001F2250" w:rsidP="001F2250">
      <w:pPr>
        <w:ind w:left="360"/>
        <w:rPr>
          <w:rFonts w:eastAsia="Arial" w:cstheme="minorHAnsi"/>
          <w:sz w:val="24"/>
          <w:szCs w:val="24"/>
        </w:rPr>
      </w:pPr>
      <w:r w:rsidRPr="00CB43F3">
        <w:rPr>
          <w:rFonts w:eastAsia="Arial" w:cstheme="minorHAnsi"/>
          <w:sz w:val="24"/>
          <w:szCs w:val="24"/>
        </w:rPr>
        <w:t>- croissance très rapide notamment jusqu’à 35 ans : 20 à 30 m selon la station, jusqu’à 50 à 60 cm de diamètre à 60 ans</w:t>
      </w:r>
    </w:p>
    <w:p w:rsidR="001F2250" w:rsidRPr="00CB43F3" w:rsidRDefault="001F2250" w:rsidP="001F2250">
      <w:pPr>
        <w:ind w:left="360"/>
        <w:rPr>
          <w:rFonts w:eastAsia="Arial" w:cstheme="minorHAnsi"/>
          <w:sz w:val="24"/>
          <w:szCs w:val="24"/>
        </w:rPr>
      </w:pPr>
      <w:r w:rsidRPr="00CB43F3">
        <w:rPr>
          <w:rFonts w:eastAsia="Arial" w:cstheme="minorHAnsi"/>
          <w:sz w:val="24"/>
          <w:szCs w:val="24"/>
        </w:rPr>
        <w:t xml:space="preserve">- à couvert léger, protecteur d’autres essences contre gelées et soleil </w:t>
      </w:r>
    </w:p>
    <w:p w:rsidR="001F2250" w:rsidRPr="00CB43F3" w:rsidRDefault="001F2250" w:rsidP="001F2250">
      <w:pPr>
        <w:ind w:left="360"/>
        <w:rPr>
          <w:rFonts w:eastAsia="Arial" w:cstheme="minorHAnsi"/>
          <w:sz w:val="24"/>
          <w:szCs w:val="24"/>
        </w:rPr>
      </w:pPr>
      <w:r w:rsidRPr="00CB43F3">
        <w:rPr>
          <w:rFonts w:eastAsia="Arial" w:cstheme="minorHAnsi"/>
          <w:sz w:val="24"/>
          <w:szCs w:val="24"/>
        </w:rPr>
        <w:t>- « plastique », pousse jusque sur les sols pauvres et acides ; améliorateur des sols par son humus</w:t>
      </w:r>
    </w:p>
    <w:p w:rsidR="001F2250" w:rsidRPr="00CB43F3" w:rsidRDefault="001F2250" w:rsidP="001F2250">
      <w:pPr>
        <w:ind w:left="360"/>
        <w:rPr>
          <w:rFonts w:eastAsia="Arial" w:cstheme="minorHAnsi"/>
          <w:sz w:val="24"/>
          <w:szCs w:val="24"/>
        </w:rPr>
      </w:pPr>
      <w:r w:rsidRPr="00CB43F3">
        <w:rPr>
          <w:rFonts w:eastAsia="Arial" w:cstheme="minorHAnsi"/>
          <w:sz w:val="24"/>
          <w:szCs w:val="24"/>
        </w:rPr>
        <w:t>- à bonne résistance au chablis (</w:t>
      </w:r>
      <w:r w:rsidRPr="00CB43F3">
        <w:rPr>
          <w:rFonts w:eastAsia="Arial" w:cstheme="minorHAnsi"/>
          <w:i/>
          <w:iCs/>
          <w:sz w:val="24"/>
          <w:szCs w:val="24"/>
        </w:rPr>
        <w:t>i.e.</w:t>
      </w:r>
      <w:r w:rsidRPr="00CB43F3">
        <w:rPr>
          <w:rFonts w:eastAsia="Arial" w:cstheme="minorHAnsi"/>
          <w:sz w:val="24"/>
          <w:szCs w:val="24"/>
        </w:rPr>
        <w:t xml:space="preserve"> déracinement) grâce à son enracinement puissant en coeur.</w:t>
      </w:r>
    </w:p>
    <w:p w:rsidR="001F2250" w:rsidRDefault="001F2250" w:rsidP="001F2250"/>
    <w:p w:rsidR="001F2250" w:rsidRDefault="001F2250" w:rsidP="001F2250"/>
    <w:p w:rsidR="001F2250" w:rsidRDefault="001F2250"/>
    <w:p w:rsidR="001F2250" w:rsidRPr="00996BFF" w:rsidRDefault="001F2250" w:rsidP="001F2250">
      <w:pPr>
        <w:spacing w:before="100" w:beforeAutospacing="1" w:after="100" w:afterAutospacing="1" w:line="240" w:lineRule="auto"/>
        <w:outlineLvl w:val="0"/>
        <w:rPr>
          <w:rFonts w:ascii="Times New Roman" w:eastAsia="Times New Roman" w:hAnsi="Times New Roman" w:cs="Times New Roman"/>
          <w:b/>
          <w:bCs/>
          <w:kern w:val="36"/>
          <w:lang w:eastAsia="fr-FR"/>
        </w:rPr>
      </w:pPr>
      <w:r w:rsidRPr="00996BFF">
        <w:rPr>
          <w:rFonts w:ascii="Times New Roman" w:eastAsia="Times New Roman" w:hAnsi="Times New Roman" w:cs="Times New Roman"/>
          <w:b/>
          <w:bCs/>
          <w:kern w:val="36"/>
          <w:u w:val="single"/>
          <w:lang w:eastAsia="fr-FR"/>
        </w:rPr>
        <w:lastRenderedPageBreak/>
        <w:t>Document 5</w:t>
      </w:r>
      <w:r w:rsidRPr="00996BFF">
        <w:rPr>
          <w:rFonts w:ascii="Times New Roman" w:eastAsia="Times New Roman" w:hAnsi="Times New Roman" w:cs="Times New Roman"/>
          <w:b/>
          <w:bCs/>
          <w:kern w:val="36"/>
          <w:lang w:eastAsia="fr-FR"/>
        </w:rPr>
        <w:t> : La forêt de Hagenau après la tempête et 20 ans après</w:t>
      </w:r>
    </w:p>
    <w:p w:rsidR="001F2250" w:rsidRPr="0000763F" w:rsidRDefault="001F2250" w:rsidP="001F2250">
      <w:pPr>
        <w:spacing w:before="100" w:beforeAutospacing="1" w:after="100" w:afterAutospacing="1" w:line="240" w:lineRule="auto"/>
        <w:outlineLvl w:val="0"/>
        <w:rPr>
          <w:rFonts w:eastAsia="Times New Roman" w:cstheme="minorHAnsi"/>
          <w:i/>
          <w:iCs/>
          <w:sz w:val="14"/>
          <w:szCs w:val="14"/>
          <w:lang w:eastAsia="fr-FR"/>
        </w:rPr>
      </w:pPr>
      <w:r w:rsidRPr="0000763F">
        <w:rPr>
          <w:rFonts w:eastAsia="Times New Roman" w:cstheme="minorHAnsi"/>
          <w:kern w:val="36"/>
          <w:sz w:val="24"/>
          <w:szCs w:val="24"/>
          <w:u w:val="single"/>
          <w:lang w:eastAsia="fr-FR"/>
        </w:rPr>
        <w:t>Document 5a</w:t>
      </w:r>
      <w:r w:rsidRPr="0000763F">
        <w:rPr>
          <w:rFonts w:eastAsia="Times New Roman" w:cstheme="minorHAnsi"/>
          <w:kern w:val="36"/>
          <w:sz w:val="24"/>
          <w:szCs w:val="24"/>
          <w:lang w:eastAsia="fr-FR"/>
        </w:rPr>
        <w:t xml:space="preserve"> : Vingt ans après la tempête de 1999, la forêt face à une nouvelle catastrophe </w:t>
      </w:r>
      <w:r w:rsidRPr="0000763F">
        <w:rPr>
          <w:rFonts w:eastAsia="Times New Roman" w:cstheme="minorHAnsi"/>
          <w:i/>
          <w:iCs/>
          <w:sz w:val="24"/>
          <w:szCs w:val="24"/>
          <w:lang w:eastAsia="fr-FR"/>
        </w:rPr>
        <w:t xml:space="preserve">Par AFP </w:t>
      </w:r>
      <w:r w:rsidRPr="0000763F">
        <w:rPr>
          <w:rFonts w:eastAsia="Times New Roman" w:cstheme="minorHAnsi"/>
          <w:i/>
          <w:iCs/>
          <w:sz w:val="18"/>
          <w:szCs w:val="18"/>
          <w:lang w:eastAsia="fr-FR"/>
        </w:rPr>
        <w:t>-</w:t>
      </w:r>
      <w:r w:rsidRPr="0000763F">
        <w:rPr>
          <w:rFonts w:eastAsia="Times New Roman" w:cstheme="minorHAnsi"/>
          <w:i/>
          <w:iCs/>
          <w:sz w:val="14"/>
          <w:szCs w:val="14"/>
          <w:lang w:eastAsia="fr-FR"/>
        </w:rPr>
        <w:t xml:space="preserve"> Publié le 22/12/2019 à 8h00 - Mis à jour le 22/12/2019 </w:t>
      </w:r>
    </w:p>
    <w:p w:rsidR="001F2250" w:rsidRPr="00996BFF" w:rsidRDefault="001F2250" w:rsidP="001F2250">
      <w:pPr>
        <w:spacing w:after="0" w:line="240" w:lineRule="auto"/>
        <w:rPr>
          <w:rFonts w:ascii="Times New Roman" w:eastAsia="Times New Roman" w:hAnsi="Times New Roman" w:cs="Times New Roman"/>
          <w:sz w:val="24"/>
          <w:szCs w:val="24"/>
          <w:lang w:eastAsia="fr-FR"/>
        </w:rPr>
      </w:pPr>
      <w:r>
        <w:rPr>
          <w:noProof/>
          <w:lang w:eastAsia="fr-FR"/>
        </w:rPr>
        <w:drawing>
          <wp:inline distT="0" distB="0" distL="0" distR="0">
            <wp:extent cx="5760720" cy="3298825"/>
            <wp:effectExtent l="0" t="0" r="0"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98825"/>
                    </a:xfrm>
                    <a:prstGeom prst="rect">
                      <a:avLst/>
                    </a:prstGeom>
                  </pic:spPr>
                </pic:pic>
              </a:graphicData>
            </a:graphic>
          </wp:inline>
        </w:drawing>
      </w:r>
    </w:p>
    <w:p w:rsidR="001F2250" w:rsidRPr="00996BFF" w:rsidRDefault="001F2250" w:rsidP="001F2250">
      <w:pPr>
        <w:spacing w:after="0" w:line="240" w:lineRule="auto"/>
        <w:rPr>
          <w:rFonts w:ascii="Times New Roman" w:eastAsia="Times New Roman" w:hAnsi="Times New Roman" w:cs="Times New Roman"/>
          <w:sz w:val="18"/>
          <w:szCs w:val="18"/>
          <w:lang w:eastAsia="fr-FR"/>
        </w:rPr>
      </w:pPr>
      <w:r w:rsidRPr="00996BFF">
        <w:rPr>
          <w:rFonts w:ascii="Times New Roman" w:eastAsia="Times New Roman" w:hAnsi="Times New Roman" w:cs="Times New Roman"/>
          <w:sz w:val="18"/>
          <w:szCs w:val="18"/>
          <w:lang w:eastAsia="fr-FR"/>
        </w:rPr>
        <w:t xml:space="preserve">Le tronc cassé d'un arbre dans la forêt de Weitbruch, dans le Bas-Rhin, le 13 décembre 2019, vingt ans après la tempête de décembre 1999 © AFP/FREDERICK FLORIN Weitbruch (France) (AFP) </w:t>
      </w:r>
    </w:p>
    <w:p w:rsidR="001F2250" w:rsidRPr="00996BFF" w:rsidRDefault="001F2250" w:rsidP="001F2250">
      <w:pPr>
        <w:spacing w:before="100" w:beforeAutospacing="1" w:after="100" w:afterAutospacing="1" w:line="240" w:lineRule="auto"/>
        <w:rPr>
          <w:rFonts w:ascii="Times New Roman" w:eastAsia="Times New Roman" w:hAnsi="Times New Roman" w:cs="Times New Roman"/>
          <w:sz w:val="24"/>
          <w:szCs w:val="24"/>
          <w:lang w:eastAsia="fr-FR"/>
        </w:rPr>
      </w:pPr>
      <w:r w:rsidRPr="00996BFF">
        <w:rPr>
          <w:rFonts w:ascii="Times New Roman" w:eastAsia="Times New Roman" w:hAnsi="Times New Roman" w:cs="Times New Roman"/>
          <w:sz w:val="24"/>
          <w:szCs w:val="24"/>
          <w:lang w:eastAsia="fr-FR"/>
        </w:rPr>
        <w:t>"Ce n'est pas la même qu'avant, mais c'est de nouveau une forêt". Une forêt de petits arbres. Vingt ans après les dévastatrices tempêtes de 1999, ils ont reconquis les zones détruites, mais doivent désormais affronter la catastrophe silencieuse du réchauffement climatique.</w:t>
      </w:r>
    </w:p>
    <w:p w:rsidR="001F2250" w:rsidRPr="00996BFF" w:rsidRDefault="001F2250" w:rsidP="001F2250">
      <w:pPr>
        <w:spacing w:before="100" w:beforeAutospacing="1" w:after="100" w:afterAutospacing="1" w:line="240" w:lineRule="auto"/>
        <w:rPr>
          <w:rFonts w:ascii="Times New Roman" w:eastAsia="Times New Roman" w:hAnsi="Times New Roman" w:cs="Times New Roman"/>
          <w:sz w:val="24"/>
          <w:szCs w:val="24"/>
          <w:lang w:eastAsia="fr-FR"/>
        </w:rPr>
      </w:pPr>
      <w:r w:rsidRPr="00996BFF">
        <w:rPr>
          <w:rFonts w:ascii="Times New Roman" w:eastAsia="Times New Roman" w:hAnsi="Times New Roman" w:cs="Times New Roman"/>
          <w:sz w:val="24"/>
          <w:szCs w:val="24"/>
          <w:lang w:eastAsia="fr-FR"/>
        </w:rPr>
        <w:t>Dans la forêt communale de Weitbruch (Bas-Rhin), la souche d'un pin sylvestre fauché par les vents, le 26 décembre 1999, jouxte encore l'un de ses rares acolytes à être restés pointés vers le ciel déchiré par la tempête Lothar.Les deux tiers des 600 hectares de cette forêt de plaine ont été ravagés par la "tempête du siècle".</w:t>
      </w:r>
    </w:p>
    <w:p w:rsidR="001F2250" w:rsidRPr="00996BFF" w:rsidRDefault="001F2250" w:rsidP="001F2250">
      <w:pPr>
        <w:spacing w:before="100" w:beforeAutospacing="1" w:after="100" w:afterAutospacing="1" w:line="240" w:lineRule="auto"/>
        <w:rPr>
          <w:rFonts w:ascii="Times New Roman" w:eastAsia="Times New Roman" w:hAnsi="Times New Roman" w:cs="Times New Roman"/>
          <w:sz w:val="24"/>
          <w:szCs w:val="24"/>
          <w:lang w:eastAsia="fr-FR"/>
        </w:rPr>
      </w:pPr>
      <w:r w:rsidRPr="00996BFF">
        <w:rPr>
          <w:rFonts w:ascii="Times New Roman" w:eastAsia="Times New Roman" w:hAnsi="Times New Roman" w:cs="Times New Roman"/>
          <w:sz w:val="24"/>
          <w:szCs w:val="24"/>
          <w:lang w:eastAsia="fr-FR"/>
        </w:rPr>
        <w:t>"En deux heures de temps... C'était dramatique", se souvient Pierre Geldreich, aujourd'hui directeur de l'agence travaux Rhin Vosges de l'Office national des forêts (ONF) qui évoque même la "tempête du millénaire", un "traumatisme terrible" pour les forestiers de l'époque.</w:t>
      </w:r>
    </w:p>
    <w:p w:rsidR="001F2250" w:rsidRPr="00996BFF" w:rsidRDefault="001F2250" w:rsidP="001F2250">
      <w:pPr>
        <w:spacing w:after="0" w:line="240" w:lineRule="auto"/>
        <w:rPr>
          <w:rFonts w:ascii="Times New Roman" w:eastAsia="Times New Roman" w:hAnsi="Times New Roman" w:cs="Times New Roman"/>
          <w:sz w:val="24"/>
          <w:szCs w:val="24"/>
          <w:lang w:eastAsia="fr-FR"/>
        </w:rPr>
      </w:pPr>
      <w:r w:rsidRPr="00996BFF">
        <w:rPr>
          <w:rFonts w:ascii="Times New Roman" w:eastAsia="Times New Roman" w:hAnsi="Times New Roman" w:cs="Times New Roman"/>
          <w:noProof/>
          <w:sz w:val="24"/>
          <w:szCs w:val="24"/>
          <w:lang w:eastAsia="fr-FR"/>
        </w:rPr>
        <w:drawing>
          <wp:anchor distT="0" distB="0" distL="114300" distR="114300" simplePos="0" relativeHeight="251667456" behindDoc="0" locked="0" layoutInCell="1" allowOverlap="1">
            <wp:simplePos x="0" y="0"/>
            <wp:positionH relativeFrom="margin">
              <wp:align>left</wp:align>
            </wp:positionH>
            <wp:positionV relativeFrom="paragraph">
              <wp:posOffset>8255</wp:posOffset>
            </wp:positionV>
            <wp:extent cx="3554730" cy="2363470"/>
            <wp:effectExtent l="0" t="0" r="7620" b="0"/>
            <wp:wrapSquare wrapText="bothSides"/>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4730" cy="2363470"/>
                    </a:xfrm>
                    <a:prstGeom prst="rect">
                      <a:avLst/>
                    </a:prstGeom>
                    <a:noFill/>
                    <a:ln>
                      <a:noFill/>
                    </a:ln>
                  </pic:spPr>
                </pic:pic>
              </a:graphicData>
            </a:graphic>
          </wp:anchor>
        </w:drawing>
      </w:r>
      <w:r w:rsidRPr="00996BFF">
        <w:rPr>
          <w:rFonts w:ascii="Times New Roman" w:eastAsia="Times New Roman" w:hAnsi="Times New Roman" w:cs="Times New Roman"/>
          <w:sz w:val="24"/>
          <w:szCs w:val="24"/>
          <w:lang w:eastAsia="fr-FR"/>
        </w:rPr>
        <w:t>La Lorraine toute proche fut la plus touchée. Les deux jours suivants, l'Aquitaine, surtout, prenait de plein fouet la tempête Martin. En tout, 140 millions de m3 de bois ont été détruits en France, selon l'ONF, l'équivalent de plus de trois années de récolte. Au moins 25 années de récolte pour la forêt de Weitbruch.</w:t>
      </w:r>
    </w:p>
    <w:p w:rsidR="001F2250" w:rsidRPr="00996BFF" w:rsidRDefault="001F2250" w:rsidP="001F2250">
      <w:pPr>
        <w:spacing w:before="100" w:beforeAutospacing="1" w:after="100" w:afterAutospacing="1" w:line="240" w:lineRule="auto"/>
        <w:rPr>
          <w:rFonts w:ascii="Times New Roman" w:eastAsia="Times New Roman" w:hAnsi="Times New Roman" w:cs="Times New Roman"/>
          <w:sz w:val="24"/>
          <w:szCs w:val="24"/>
          <w:lang w:eastAsia="fr-FR"/>
        </w:rPr>
      </w:pPr>
      <w:r w:rsidRPr="00996BFF">
        <w:rPr>
          <w:rFonts w:ascii="Times New Roman" w:eastAsia="Times New Roman" w:hAnsi="Times New Roman" w:cs="Times New Roman"/>
          <w:sz w:val="24"/>
          <w:szCs w:val="24"/>
          <w:lang w:eastAsia="fr-FR"/>
        </w:rPr>
        <w:t>Plutôt que de débroussailler au plus vite et de replanter immédiatement, l'office gestionnaire des forêts publiques avait fait le choix inédit de privilégier la "régénération naturelle".</w:t>
      </w:r>
    </w:p>
    <w:p w:rsidR="001F2250" w:rsidRPr="00996BFF" w:rsidRDefault="001F2250" w:rsidP="001F2250">
      <w:pPr>
        <w:spacing w:after="0" w:line="240" w:lineRule="auto"/>
        <w:rPr>
          <w:rFonts w:ascii="Times New Roman" w:eastAsia="Times New Roman" w:hAnsi="Times New Roman" w:cs="Times New Roman"/>
          <w:sz w:val="24"/>
          <w:szCs w:val="24"/>
          <w:lang w:eastAsia="fr-FR"/>
        </w:rPr>
      </w:pPr>
    </w:p>
    <w:p w:rsidR="001F2250" w:rsidRPr="00996BFF" w:rsidRDefault="001F2250" w:rsidP="001F2250">
      <w:pPr>
        <w:spacing w:before="100" w:beforeAutospacing="1" w:after="100" w:afterAutospacing="1" w:line="240" w:lineRule="auto"/>
        <w:rPr>
          <w:rFonts w:ascii="Times New Roman" w:eastAsia="Times New Roman" w:hAnsi="Times New Roman" w:cs="Times New Roman"/>
          <w:sz w:val="24"/>
          <w:szCs w:val="24"/>
          <w:lang w:eastAsia="fr-FR"/>
        </w:rPr>
      </w:pPr>
      <w:r w:rsidRPr="00996BFF">
        <w:rPr>
          <w:rFonts w:ascii="Times New Roman" w:eastAsia="Times New Roman" w:hAnsi="Times New Roman" w:cs="Times New Roman"/>
          <w:sz w:val="24"/>
          <w:szCs w:val="24"/>
          <w:lang w:eastAsia="fr-FR"/>
        </w:rPr>
        <w:lastRenderedPageBreak/>
        <w:t xml:space="preserve">Avec un mot </w:t>
      </w:r>
      <w:proofErr w:type="gramStart"/>
      <w:r w:rsidRPr="00996BFF">
        <w:rPr>
          <w:rFonts w:ascii="Times New Roman" w:eastAsia="Times New Roman" w:hAnsi="Times New Roman" w:cs="Times New Roman"/>
          <w:sz w:val="24"/>
          <w:szCs w:val="24"/>
          <w:lang w:eastAsia="fr-FR"/>
        </w:rPr>
        <w:t>d'ordre:</w:t>
      </w:r>
      <w:proofErr w:type="gramEnd"/>
      <w:r w:rsidRPr="00996BFF">
        <w:rPr>
          <w:rFonts w:ascii="Times New Roman" w:eastAsia="Times New Roman" w:hAnsi="Times New Roman" w:cs="Times New Roman"/>
          <w:sz w:val="24"/>
          <w:szCs w:val="24"/>
          <w:lang w:eastAsia="fr-FR"/>
        </w:rPr>
        <w:t xml:space="preserve"> "attendre et observer cinq à dix ans", explique Pierre Geldreich, puis "accompagner" le développement d'une forêt moins dense et plus variée en espèces. "Il y a une dynamique naturelle, la nature </w:t>
      </w:r>
      <w:r>
        <w:rPr>
          <w:rFonts w:ascii="Times New Roman" w:eastAsia="Times New Roman" w:hAnsi="Times New Roman" w:cs="Times New Roman"/>
          <w:sz w:val="24"/>
          <w:szCs w:val="24"/>
          <w:lang w:eastAsia="fr-FR"/>
        </w:rPr>
        <w:t>a horreur du vide</w:t>
      </w:r>
      <w:r w:rsidRPr="00996BFF">
        <w:rPr>
          <w:rFonts w:ascii="Times New Roman" w:eastAsia="Times New Roman" w:hAnsi="Times New Roman" w:cs="Times New Roman"/>
          <w:sz w:val="24"/>
          <w:szCs w:val="24"/>
          <w:lang w:eastAsia="fr-FR"/>
        </w:rPr>
        <w:t>."</w:t>
      </w:r>
    </w:p>
    <w:p w:rsidR="001F2250" w:rsidRPr="00996BFF" w:rsidRDefault="001F2250" w:rsidP="001F2250">
      <w:pPr>
        <w:spacing w:before="100" w:beforeAutospacing="1" w:after="100" w:afterAutospacing="1" w:line="240" w:lineRule="auto"/>
        <w:rPr>
          <w:rFonts w:ascii="Times New Roman" w:eastAsia="Times New Roman" w:hAnsi="Times New Roman" w:cs="Times New Roman"/>
          <w:sz w:val="24"/>
          <w:szCs w:val="24"/>
          <w:lang w:eastAsia="fr-FR"/>
        </w:rPr>
      </w:pPr>
      <w:r w:rsidRPr="00996BFF">
        <w:rPr>
          <w:rFonts w:ascii="Times New Roman" w:eastAsia="Times New Roman" w:hAnsi="Times New Roman" w:cs="Times New Roman"/>
          <w:sz w:val="24"/>
          <w:szCs w:val="24"/>
          <w:lang w:eastAsia="fr-FR"/>
        </w:rPr>
        <w:t>Dans la forêt de Weitbruch, un hêtre centenaire fracturé en son milieu en 1999 est toujours là, devenu un refuge pour de petits animaux de toutes sortes.</w:t>
      </w:r>
    </w:p>
    <w:p w:rsidR="001F2250" w:rsidRPr="00996BFF" w:rsidRDefault="001F2250" w:rsidP="001F2250">
      <w:pPr>
        <w:spacing w:before="100" w:beforeAutospacing="1" w:after="100" w:afterAutospacing="1" w:line="240" w:lineRule="auto"/>
        <w:rPr>
          <w:rFonts w:ascii="Times New Roman" w:eastAsia="Times New Roman" w:hAnsi="Times New Roman" w:cs="Times New Roman"/>
          <w:sz w:val="24"/>
          <w:szCs w:val="24"/>
          <w:lang w:eastAsia="fr-FR"/>
        </w:rPr>
      </w:pPr>
      <w:r w:rsidRPr="00996BFF">
        <w:rPr>
          <w:rFonts w:ascii="Times New Roman" w:eastAsia="Times New Roman" w:hAnsi="Times New Roman" w:cs="Times New Roman"/>
          <w:sz w:val="24"/>
          <w:szCs w:val="24"/>
          <w:lang w:eastAsia="fr-FR"/>
        </w:rPr>
        <w:t xml:space="preserve">Les trouées désolantes des lendemains de la tempête sont difficilement </w:t>
      </w:r>
      <w:proofErr w:type="gramStart"/>
      <w:r w:rsidRPr="00996BFF">
        <w:rPr>
          <w:rFonts w:ascii="Times New Roman" w:eastAsia="Times New Roman" w:hAnsi="Times New Roman" w:cs="Times New Roman"/>
          <w:sz w:val="24"/>
          <w:szCs w:val="24"/>
          <w:lang w:eastAsia="fr-FR"/>
        </w:rPr>
        <w:t>décelables:</w:t>
      </w:r>
      <w:proofErr w:type="gramEnd"/>
      <w:r w:rsidRPr="00996BFF">
        <w:rPr>
          <w:rFonts w:ascii="Times New Roman" w:eastAsia="Times New Roman" w:hAnsi="Times New Roman" w:cs="Times New Roman"/>
          <w:sz w:val="24"/>
          <w:szCs w:val="24"/>
          <w:lang w:eastAsia="fr-FR"/>
        </w:rPr>
        <w:t xml:space="preserve"> les bouleaux -- une espèce qualifiée de "pionnière" - ont pris possession des lieux. Sous leur protection, grandissent de premiers hêtres tout jeunes. "Dans un siècle, vous aurez une hêtraie comme avant et elle s'est installée toute seule", constate avec satisfaction Pierre Geldreich.</w:t>
      </w:r>
    </w:p>
    <w:p w:rsidR="001F2250" w:rsidRPr="00996BFF" w:rsidRDefault="001F2250" w:rsidP="001F2250">
      <w:pPr>
        <w:spacing w:before="100" w:beforeAutospacing="1" w:after="100" w:afterAutospacing="1" w:line="240" w:lineRule="auto"/>
        <w:rPr>
          <w:rFonts w:ascii="Times New Roman" w:eastAsia="Times New Roman" w:hAnsi="Times New Roman" w:cs="Times New Roman"/>
          <w:sz w:val="24"/>
          <w:szCs w:val="24"/>
          <w:lang w:eastAsia="fr-FR"/>
        </w:rPr>
      </w:pPr>
      <w:r w:rsidRPr="00996BFF">
        <w:rPr>
          <w:rFonts w:ascii="Times New Roman" w:eastAsia="Times New Roman" w:hAnsi="Times New Roman" w:cs="Times New Roman"/>
          <w:sz w:val="24"/>
          <w:szCs w:val="24"/>
          <w:lang w:eastAsia="fr-FR"/>
        </w:rPr>
        <w:t>"Cela a beaucoup changé notre forêt", remarque Jean-Claude Krebs, adjoint au maire de Weitbruch. "Les stigmates sont encore là, car à l'échelle de la forêt, vingt ans ce n'est rien".</w:t>
      </w:r>
    </w:p>
    <w:p w:rsidR="001F2250" w:rsidRPr="00996BFF" w:rsidRDefault="001F2250" w:rsidP="001F2250">
      <w:pPr>
        <w:spacing w:after="0" w:line="240" w:lineRule="auto"/>
        <w:rPr>
          <w:rFonts w:ascii="Times New Roman" w:eastAsia="Times New Roman" w:hAnsi="Times New Roman" w:cs="Times New Roman"/>
          <w:sz w:val="24"/>
          <w:szCs w:val="24"/>
          <w:lang w:eastAsia="fr-FR"/>
        </w:rPr>
      </w:pPr>
      <w:r w:rsidRPr="00996BFF">
        <w:rPr>
          <w:rFonts w:ascii="Times New Roman" w:eastAsia="Times New Roman" w:hAnsi="Times New Roman" w:cs="Times New Roman"/>
          <w:noProof/>
          <w:sz w:val="24"/>
          <w:szCs w:val="24"/>
          <w:lang w:eastAsia="fr-FR"/>
        </w:rPr>
        <w:drawing>
          <wp:inline distT="0" distB="0" distL="0" distR="0">
            <wp:extent cx="5760720" cy="3830955"/>
            <wp:effectExtent l="0" t="0" r="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830955"/>
                    </a:xfrm>
                    <a:prstGeom prst="rect">
                      <a:avLst/>
                    </a:prstGeom>
                    <a:noFill/>
                    <a:ln>
                      <a:noFill/>
                    </a:ln>
                  </pic:spPr>
                </pic:pic>
              </a:graphicData>
            </a:graphic>
          </wp:inline>
        </w:drawing>
      </w:r>
    </w:p>
    <w:p w:rsidR="001F2250" w:rsidRPr="00996BFF" w:rsidRDefault="001F2250" w:rsidP="001F2250">
      <w:pPr>
        <w:spacing w:before="100" w:beforeAutospacing="1" w:after="100" w:afterAutospacing="1" w:line="240" w:lineRule="auto"/>
        <w:rPr>
          <w:rFonts w:ascii="Times New Roman" w:eastAsia="Times New Roman" w:hAnsi="Times New Roman" w:cs="Times New Roman"/>
          <w:sz w:val="24"/>
          <w:szCs w:val="24"/>
          <w:lang w:eastAsia="fr-FR"/>
        </w:rPr>
      </w:pPr>
      <w:r w:rsidRPr="00996BFF">
        <w:rPr>
          <w:rFonts w:ascii="Times New Roman" w:eastAsia="Times New Roman" w:hAnsi="Times New Roman" w:cs="Times New Roman"/>
          <w:sz w:val="24"/>
          <w:szCs w:val="24"/>
          <w:lang w:eastAsia="fr-FR"/>
        </w:rPr>
        <w:t>Délégué général de la Fédération nationale du bois, Nicolas Douzain-Didier compare l'impact d'une tempête majeure à celui d'une guerre provoquant "une rupture dans la pyramide des âges".</w:t>
      </w:r>
    </w:p>
    <w:p w:rsidR="001F2250" w:rsidRPr="00996BFF" w:rsidRDefault="001F2250" w:rsidP="001F2250">
      <w:pPr>
        <w:spacing w:before="100" w:beforeAutospacing="1" w:after="100" w:afterAutospacing="1" w:line="240" w:lineRule="auto"/>
        <w:rPr>
          <w:rFonts w:ascii="Times New Roman" w:eastAsia="Times New Roman" w:hAnsi="Times New Roman" w:cs="Times New Roman"/>
          <w:sz w:val="24"/>
          <w:szCs w:val="24"/>
          <w:lang w:eastAsia="fr-FR"/>
        </w:rPr>
      </w:pPr>
      <w:r w:rsidRPr="00996BFF">
        <w:rPr>
          <w:rFonts w:ascii="Times New Roman" w:eastAsia="Times New Roman" w:hAnsi="Times New Roman" w:cs="Times New Roman"/>
          <w:sz w:val="24"/>
          <w:szCs w:val="24"/>
          <w:lang w:eastAsia="fr-FR"/>
        </w:rPr>
        <w:t>En Alsace, la faune, en revanche, a résisté. Pressentant l'arrivée de la tempête, les animaux s'étaient mis à l'abri et, une fois les vents retombés, le fouillis d'arbres enchevêtrés et le gain de lumière a plutôt constitué un terrain de jeu propice aux chevreuils et autres gibiers.</w:t>
      </w:r>
    </w:p>
    <w:p w:rsidR="001F2250" w:rsidRPr="00996BFF" w:rsidRDefault="001F2250" w:rsidP="001F2250">
      <w:pPr>
        <w:spacing w:before="100" w:beforeAutospacing="1" w:after="100" w:afterAutospacing="1" w:line="240" w:lineRule="auto"/>
        <w:rPr>
          <w:rFonts w:ascii="Times New Roman" w:eastAsia="Times New Roman" w:hAnsi="Times New Roman" w:cs="Times New Roman"/>
          <w:sz w:val="24"/>
          <w:szCs w:val="24"/>
          <w:lang w:eastAsia="fr-FR"/>
        </w:rPr>
      </w:pPr>
      <w:r w:rsidRPr="00996BFF">
        <w:rPr>
          <w:rFonts w:ascii="Times New Roman" w:eastAsia="Times New Roman" w:hAnsi="Times New Roman" w:cs="Times New Roman"/>
          <w:sz w:val="24"/>
          <w:szCs w:val="24"/>
          <w:lang w:eastAsia="fr-FR"/>
        </w:rPr>
        <w:t>"C'était une catastrophe psychologique, économique mais pas écologique", résume Pierre Geldreich.</w:t>
      </w:r>
    </w:p>
    <w:p w:rsidR="001F2250" w:rsidRPr="00996BFF" w:rsidRDefault="001F2250" w:rsidP="001F2250">
      <w:pPr>
        <w:spacing w:before="100" w:beforeAutospacing="1" w:after="100" w:afterAutospacing="1" w:line="240" w:lineRule="auto"/>
        <w:rPr>
          <w:rFonts w:ascii="Times New Roman" w:eastAsia="Times New Roman" w:hAnsi="Times New Roman" w:cs="Times New Roman"/>
          <w:sz w:val="24"/>
          <w:szCs w:val="24"/>
          <w:lang w:eastAsia="fr-FR"/>
        </w:rPr>
      </w:pPr>
      <w:r w:rsidRPr="00996BFF">
        <w:rPr>
          <w:rFonts w:ascii="Times New Roman" w:eastAsia="Times New Roman" w:hAnsi="Times New Roman" w:cs="Times New Roman"/>
          <w:sz w:val="24"/>
          <w:szCs w:val="24"/>
          <w:lang w:eastAsia="fr-FR"/>
        </w:rPr>
        <w:t>- Sécheresse et scolytes-</w:t>
      </w:r>
    </w:p>
    <w:p w:rsidR="001F2250" w:rsidRPr="00996BFF" w:rsidRDefault="001F2250" w:rsidP="001F2250">
      <w:pPr>
        <w:spacing w:before="100" w:beforeAutospacing="1" w:after="100" w:afterAutospacing="1" w:line="240" w:lineRule="auto"/>
        <w:rPr>
          <w:rFonts w:ascii="Times New Roman" w:eastAsia="Times New Roman" w:hAnsi="Times New Roman" w:cs="Times New Roman"/>
          <w:sz w:val="24"/>
          <w:szCs w:val="24"/>
          <w:lang w:eastAsia="fr-FR"/>
        </w:rPr>
      </w:pPr>
      <w:r w:rsidRPr="00996BFF">
        <w:rPr>
          <w:rFonts w:ascii="Times New Roman" w:eastAsia="Times New Roman" w:hAnsi="Times New Roman" w:cs="Times New Roman"/>
          <w:sz w:val="24"/>
          <w:szCs w:val="24"/>
          <w:lang w:eastAsia="fr-FR"/>
        </w:rPr>
        <w:t>Pour les finances de Weitbruch, la catastrophe est cependant toujours bien présente. Avant 1999, la commune de presque 3.000 habitants exploitait 2.500 m3 en moyenne par an. La tempête a fait 92.000 m3 de dégâts, dont la moitié de bois potentiellement commercialisable, mais sur un marché saturé où les prix se sont effondrés. Vingt ans plus tard, la commune n'exploite plus qu'environ 400 m3 par an.</w:t>
      </w:r>
    </w:p>
    <w:p w:rsidR="001F2250" w:rsidRPr="00996BFF" w:rsidRDefault="001F2250" w:rsidP="001F2250">
      <w:pPr>
        <w:spacing w:after="0" w:line="240" w:lineRule="auto"/>
        <w:rPr>
          <w:rFonts w:ascii="Times New Roman" w:eastAsia="Times New Roman" w:hAnsi="Times New Roman" w:cs="Times New Roman"/>
          <w:sz w:val="24"/>
          <w:szCs w:val="24"/>
          <w:lang w:eastAsia="fr-FR"/>
        </w:rPr>
      </w:pPr>
      <w:r w:rsidRPr="00996BFF">
        <w:rPr>
          <w:rFonts w:ascii="Times New Roman" w:eastAsia="Times New Roman" w:hAnsi="Times New Roman" w:cs="Times New Roman"/>
          <w:noProof/>
          <w:sz w:val="24"/>
          <w:szCs w:val="24"/>
          <w:lang w:eastAsia="fr-FR"/>
        </w:rPr>
        <w:lastRenderedPageBreak/>
        <w:drawing>
          <wp:inline distT="0" distB="0" distL="0" distR="0">
            <wp:extent cx="5760720" cy="3830955"/>
            <wp:effectExtent l="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830955"/>
                    </a:xfrm>
                    <a:prstGeom prst="rect">
                      <a:avLst/>
                    </a:prstGeom>
                    <a:noFill/>
                    <a:ln>
                      <a:noFill/>
                    </a:ln>
                  </pic:spPr>
                </pic:pic>
              </a:graphicData>
            </a:graphic>
          </wp:inline>
        </w:drawing>
      </w:r>
    </w:p>
    <w:p w:rsidR="001F2250" w:rsidRPr="00996BFF" w:rsidRDefault="001F2250" w:rsidP="001F2250">
      <w:pPr>
        <w:spacing w:before="100" w:beforeAutospacing="1" w:after="100" w:afterAutospacing="1" w:line="240" w:lineRule="auto"/>
        <w:rPr>
          <w:rFonts w:ascii="Times New Roman" w:eastAsia="Times New Roman" w:hAnsi="Times New Roman" w:cs="Times New Roman"/>
          <w:sz w:val="24"/>
          <w:szCs w:val="24"/>
          <w:lang w:eastAsia="fr-FR"/>
        </w:rPr>
      </w:pPr>
      <w:r w:rsidRPr="00996BFF">
        <w:rPr>
          <w:rFonts w:ascii="Times New Roman" w:eastAsia="Times New Roman" w:hAnsi="Times New Roman" w:cs="Times New Roman"/>
          <w:sz w:val="24"/>
          <w:szCs w:val="24"/>
          <w:lang w:eastAsia="fr-FR"/>
        </w:rPr>
        <w:t xml:space="preserve">"Nous équilibrons difficilement les comptes depuis la tempête", d'autant qu'"on se retrouve avec d'autres </w:t>
      </w:r>
      <w:proofErr w:type="gramStart"/>
      <w:r w:rsidRPr="00996BFF">
        <w:rPr>
          <w:rFonts w:ascii="Times New Roman" w:eastAsia="Times New Roman" w:hAnsi="Times New Roman" w:cs="Times New Roman"/>
          <w:sz w:val="24"/>
          <w:szCs w:val="24"/>
          <w:lang w:eastAsia="fr-FR"/>
        </w:rPr>
        <w:t>soucis:</w:t>
      </w:r>
      <w:proofErr w:type="gramEnd"/>
      <w:r w:rsidRPr="00996BFF">
        <w:rPr>
          <w:rFonts w:ascii="Times New Roman" w:eastAsia="Times New Roman" w:hAnsi="Times New Roman" w:cs="Times New Roman"/>
          <w:sz w:val="24"/>
          <w:szCs w:val="24"/>
          <w:lang w:eastAsia="fr-FR"/>
        </w:rPr>
        <w:t xml:space="preserve"> le réchauffement climatique, les scolytes...", explique Jean-Claude Krebs.</w:t>
      </w:r>
    </w:p>
    <w:p w:rsidR="001F2250" w:rsidRPr="00996BFF" w:rsidRDefault="001F2250" w:rsidP="001F2250">
      <w:pPr>
        <w:spacing w:before="100" w:beforeAutospacing="1" w:after="100" w:afterAutospacing="1" w:line="240" w:lineRule="auto"/>
        <w:rPr>
          <w:rFonts w:ascii="Times New Roman" w:eastAsia="Times New Roman" w:hAnsi="Times New Roman" w:cs="Times New Roman"/>
          <w:sz w:val="24"/>
          <w:szCs w:val="24"/>
          <w:lang w:eastAsia="fr-FR"/>
        </w:rPr>
      </w:pPr>
      <w:r w:rsidRPr="00996BFF">
        <w:rPr>
          <w:rFonts w:ascii="Times New Roman" w:eastAsia="Times New Roman" w:hAnsi="Times New Roman" w:cs="Times New Roman"/>
          <w:sz w:val="24"/>
          <w:szCs w:val="24"/>
          <w:lang w:eastAsia="fr-FR"/>
        </w:rPr>
        <w:t>Les deux dernières années de sécheresse ont fragilisé la forêt. Les scolytes, un insecte tueur d'arbres, pullulent.</w:t>
      </w:r>
    </w:p>
    <w:p w:rsidR="001F2250" w:rsidRPr="00996BFF" w:rsidRDefault="001F2250" w:rsidP="001F2250">
      <w:pPr>
        <w:spacing w:before="100" w:beforeAutospacing="1" w:after="100" w:afterAutospacing="1" w:line="240" w:lineRule="auto"/>
        <w:rPr>
          <w:rFonts w:ascii="Times New Roman" w:eastAsia="Times New Roman" w:hAnsi="Times New Roman" w:cs="Times New Roman"/>
          <w:sz w:val="24"/>
          <w:szCs w:val="24"/>
          <w:lang w:eastAsia="fr-FR"/>
        </w:rPr>
      </w:pPr>
      <w:r w:rsidRPr="00996BFF">
        <w:rPr>
          <w:rFonts w:ascii="Times New Roman" w:eastAsia="Times New Roman" w:hAnsi="Times New Roman" w:cs="Times New Roman"/>
          <w:sz w:val="24"/>
          <w:szCs w:val="24"/>
          <w:lang w:eastAsia="fr-FR"/>
        </w:rPr>
        <w:t>"C'est moins visible car cela ne vient pas du jour au lendemain comme une tempête, mais c'est exactement le même phénomène et peut-être avec les mêmes quantités" de bois détruits, estime Pierre Grandadam maire de Plaine (Bas-Rhin) et vice-président de la Fédération nationale des communes forestières (FNCOFOR).</w:t>
      </w:r>
    </w:p>
    <w:p w:rsidR="001F2250" w:rsidRPr="00996BFF" w:rsidRDefault="001F2250" w:rsidP="001F2250">
      <w:pPr>
        <w:spacing w:before="100" w:beforeAutospacing="1" w:after="100" w:afterAutospacing="1" w:line="240" w:lineRule="auto"/>
        <w:rPr>
          <w:rFonts w:ascii="Times New Roman" w:eastAsia="Times New Roman" w:hAnsi="Times New Roman" w:cs="Times New Roman"/>
          <w:sz w:val="24"/>
          <w:szCs w:val="24"/>
          <w:lang w:eastAsia="fr-FR"/>
        </w:rPr>
      </w:pPr>
      <w:r w:rsidRPr="00996BFF">
        <w:rPr>
          <w:rFonts w:ascii="Times New Roman" w:eastAsia="Times New Roman" w:hAnsi="Times New Roman" w:cs="Times New Roman"/>
          <w:sz w:val="24"/>
          <w:szCs w:val="24"/>
          <w:lang w:eastAsia="fr-FR"/>
        </w:rPr>
        <w:t>"Il y a vingt ans, on ne pensait pas au réchauffement climatique" mais aujourd'hui, "on a encore plus d'incertitudes sur le devenir de la forêt."</w:t>
      </w:r>
    </w:p>
    <w:p w:rsidR="001F2250" w:rsidRDefault="001F2250" w:rsidP="001F2250"/>
    <w:p w:rsidR="001F2250" w:rsidRDefault="001F2250" w:rsidP="001F2250">
      <w:r w:rsidRPr="007F0117">
        <w:rPr>
          <w:u w:val="single"/>
        </w:rPr>
        <w:t>Document 5b</w:t>
      </w:r>
      <w:r>
        <w:t> : Bilan tempête et modalités de « réparation » de la forêt</w:t>
      </w:r>
    </w:p>
    <w:p w:rsidR="001F2250" w:rsidRDefault="001F2250" w:rsidP="001F2250">
      <w:r>
        <w:t>Vidéos :</w:t>
      </w:r>
    </w:p>
    <w:p w:rsidR="001F2250" w:rsidRDefault="005858F5" w:rsidP="001F2250">
      <w:hyperlink r:id="rId28" w:history="1">
        <w:r w:rsidR="001F2250" w:rsidRPr="006F71C2">
          <w:rPr>
            <w:rStyle w:val="Lienhypertexte"/>
          </w:rPr>
          <w:t>https://www.youtube.com/watch?time_continue=1&amp;v=hTHifpYZkaU&amp;feature=emb_logo</w:t>
        </w:r>
      </w:hyperlink>
    </w:p>
    <w:p w:rsidR="001F2250" w:rsidRDefault="001F2250" w:rsidP="001F2250"/>
    <w:p w:rsidR="001F2250" w:rsidRDefault="001F2250"/>
    <w:sectPr w:rsidR="001F2250" w:rsidSect="00F3134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20B0604020202020204"/>
    <w:charset w:val="00"/>
    <w:family w:val="auto"/>
    <w:pitch w:val="default"/>
  </w:font>
  <w:font w:name="Noto Sans CJK SC Regular">
    <w:altName w:val="Times New Roman"/>
    <w:panose1 w:val="020B0604020202020204"/>
    <w:charset w:val="00"/>
    <w:family w:val="auto"/>
    <w:pitch w:val="variable"/>
  </w:font>
  <w:font w:name="FreeSans">
    <w:altName w:val="Cambria"/>
    <w:panose1 w:val="020B0604020202020204"/>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5F2E49"/>
    <w:multiLevelType w:val="multilevel"/>
    <w:tmpl w:val="CC6018E8"/>
    <w:lvl w:ilvl="0">
      <w:start w:val="1"/>
      <w:numFmt w:val="bullet"/>
      <w:lvlText w:val="●"/>
      <w:lvlJc w:val="left"/>
      <w:pPr>
        <w:tabs>
          <w:tab w:val="num" w:pos="1068"/>
        </w:tabs>
        <w:ind w:left="1068" w:hanging="360"/>
      </w:pPr>
      <w:rPr>
        <w:rFonts w:ascii="Arial" w:hAnsi="Arial" w:cs="Arial" w:hint="default"/>
      </w:rPr>
    </w:lvl>
    <w:lvl w:ilvl="1">
      <w:start w:val="1"/>
      <w:numFmt w:val="bullet"/>
      <w:lvlText w:val="●"/>
      <w:lvlJc w:val="left"/>
      <w:pPr>
        <w:tabs>
          <w:tab w:val="num" w:pos="1788"/>
        </w:tabs>
        <w:ind w:left="1788" w:hanging="360"/>
      </w:pPr>
      <w:rPr>
        <w:rFonts w:ascii="Arial" w:hAnsi="Arial" w:cs="Arial" w:hint="default"/>
      </w:rPr>
    </w:lvl>
    <w:lvl w:ilvl="2">
      <w:start w:val="1"/>
      <w:numFmt w:val="bullet"/>
      <w:lvlText w:val="●"/>
      <w:lvlJc w:val="left"/>
      <w:pPr>
        <w:tabs>
          <w:tab w:val="num" w:pos="2508"/>
        </w:tabs>
        <w:ind w:left="2508" w:hanging="360"/>
      </w:pPr>
      <w:rPr>
        <w:rFonts w:ascii="Arial" w:hAnsi="Arial" w:cs="Arial" w:hint="default"/>
      </w:rPr>
    </w:lvl>
    <w:lvl w:ilvl="3">
      <w:start w:val="1"/>
      <w:numFmt w:val="bullet"/>
      <w:lvlText w:val="●"/>
      <w:lvlJc w:val="left"/>
      <w:pPr>
        <w:tabs>
          <w:tab w:val="num" w:pos="3228"/>
        </w:tabs>
        <w:ind w:left="3228" w:hanging="360"/>
      </w:pPr>
      <w:rPr>
        <w:rFonts w:ascii="Arial" w:hAnsi="Arial" w:cs="Arial" w:hint="default"/>
      </w:rPr>
    </w:lvl>
    <w:lvl w:ilvl="4">
      <w:start w:val="1"/>
      <w:numFmt w:val="bullet"/>
      <w:lvlText w:val="●"/>
      <w:lvlJc w:val="left"/>
      <w:pPr>
        <w:tabs>
          <w:tab w:val="num" w:pos="3948"/>
        </w:tabs>
        <w:ind w:left="3948" w:hanging="360"/>
      </w:pPr>
      <w:rPr>
        <w:rFonts w:ascii="Arial" w:hAnsi="Arial" w:cs="Arial" w:hint="default"/>
      </w:rPr>
    </w:lvl>
    <w:lvl w:ilvl="5">
      <w:start w:val="1"/>
      <w:numFmt w:val="bullet"/>
      <w:lvlText w:val="●"/>
      <w:lvlJc w:val="left"/>
      <w:pPr>
        <w:tabs>
          <w:tab w:val="num" w:pos="4668"/>
        </w:tabs>
        <w:ind w:left="4668" w:hanging="360"/>
      </w:pPr>
      <w:rPr>
        <w:rFonts w:ascii="Arial" w:hAnsi="Arial" w:cs="Arial" w:hint="default"/>
      </w:rPr>
    </w:lvl>
    <w:lvl w:ilvl="6">
      <w:start w:val="1"/>
      <w:numFmt w:val="bullet"/>
      <w:lvlText w:val="●"/>
      <w:lvlJc w:val="left"/>
      <w:pPr>
        <w:tabs>
          <w:tab w:val="num" w:pos="5388"/>
        </w:tabs>
        <w:ind w:left="5388" w:hanging="360"/>
      </w:pPr>
      <w:rPr>
        <w:rFonts w:ascii="Arial" w:hAnsi="Arial" w:cs="Arial" w:hint="default"/>
      </w:rPr>
    </w:lvl>
    <w:lvl w:ilvl="7">
      <w:start w:val="1"/>
      <w:numFmt w:val="bullet"/>
      <w:lvlText w:val="●"/>
      <w:lvlJc w:val="left"/>
      <w:pPr>
        <w:tabs>
          <w:tab w:val="num" w:pos="6108"/>
        </w:tabs>
        <w:ind w:left="6108" w:hanging="360"/>
      </w:pPr>
      <w:rPr>
        <w:rFonts w:ascii="Arial" w:hAnsi="Arial" w:cs="Arial" w:hint="default"/>
      </w:rPr>
    </w:lvl>
    <w:lvl w:ilvl="8">
      <w:start w:val="1"/>
      <w:numFmt w:val="bullet"/>
      <w:lvlText w:val="●"/>
      <w:lvlJc w:val="left"/>
      <w:pPr>
        <w:tabs>
          <w:tab w:val="num" w:pos="6828"/>
        </w:tabs>
        <w:ind w:left="6828" w:hanging="360"/>
      </w:pPr>
      <w:rPr>
        <w:rFonts w:ascii="Arial" w:hAnsi="Arial" w:cs="Arial" w:hint="default"/>
      </w:rPr>
    </w:lvl>
  </w:abstractNum>
  <w:abstractNum w:abstractNumId="1" w15:restartNumberingAfterBreak="0">
    <w:nsid w:val="6CBE0110"/>
    <w:multiLevelType w:val="multilevel"/>
    <w:tmpl w:val="C952D946"/>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F31343"/>
    <w:rsid w:val="001F2250"/>
    <w:rsid w:val="005858F5"/>
    <w:rsid w:val="008B02FF"/>
    <w:rsid w:val="00C40B6C"/>
    <w:rsid w:val="00F3134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172D4"/>
  <w15:docId w15:val="{BC7D2C5F-5DAD-854A-BD3C-B06D05BE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02FF"/>
  </w:style>
  <w:style w:type="paragraph" w:styleId="Titre2">
    <w:name w:val="heading 2"/>
    <w:basedOn w:val="Normal"/>
    <w:next w:val="Normal"/>
    <w:link w:val="Titre2Car"/>
    <w:uiPriority w:val="9"/>
    <w:unhideWhenUsed/>
    <w:qFormat/>
    <w:rsid w:val="001F2250"/>
    <w:pPr>
      <w:keepNext/>
      <w:suppressAutoHyphens/>
      <w:autoSpaceDN w:val="0"/>
      <w:spacing w:before="200" w:after="120" w:line="240" w:lineRule="auto"/>
      <w:textAlignment w:val="baseline"/>
      <w:outlineLvl w:val="1"/>
    </w:pPr>
    <w:rPr>
      <w:rFonts w:ascii="Liberation Serif" w:eastAsia="Noto Sans CJK SC Regular" w:hAnsi="Liberation Serif" w:cs="FreeSans"/>
      <w:b/>
      <w:bCs/>
      <w:kern w:val="3"/>
      <w:sz w:val="36"/>
      <w:szCs w:val="36"/>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31343"/>
    <w:rPr>
      <w:color w:val="0563C1" w:themeColor="hyperlink"/>
      <w:u w:val="single"/>
    </w:rPr>
  </w:style>
  <w:style w:type="character" w:customStyle="1" w:styleId="Mentionnonrsolue1">
    <w:name w:val="Mention non résolue1"/>
    <w:basedOn w:val="Policepardfaut"/>
    <w:uiPriority w:val="99"/>
    <w:semiHidden/>
    <w:unhideWhenUsed/>
    <w:rsid w:val="00F31343"/>
    <w:rPr>
      <w:color w:val="605E5C"/>
      <w:shd w:val="clear" w:color="auto" w:fill="E1DFDD"/>
    </w:rPr>
  </w:style>
  <w:style w:type="paragraph" w:customStyle="1" w:styleId="desc">
    <w:name w:val="desc"/>
    <w:basedOn w:val="Normal"/>
    <w:rsid w:val="00F3134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F3134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225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2250"/>
    <w:rPr>
      <w:rFonts w:ascii="Tahoma" w:hAnsi="Tahoma" w:cs="Tahoma"/>
      <w:sz w:val="16"/>
      <w:szCs w:val="16"/>
    </w:rPr>
  </w:style>
  <w:style w:type="character" w:customStyle="1" w:styleId="Titre2Car">
    <w:name w:val="Titre 2 Car"/>
    <w:basedOn w:val="Policepardfaut"/>
    <w:link w:val="Titre2"/>
    <w:uiPriority w:val="9"/>
    <w:rsid w:val="001F2250"/>
    <w:rPr>
      <w:rFonts w:ascii="Liberation Serif" w:eastAsia="Noto Sans CJK SC Regular" w:hAnsi="Liberation Serif" w:cs="FreeSans"/>
      <w:b/>
      <w:bCs/>
      <w:kern w:val="3"/>
      <w:sz w:val="36"/>
      <w:szCs w:val="36"/>
      <w:lang w:eastAsia="zh-CN" w:bidi="hi-IN"/>
    </w:rPr>
  </w:style>
  <w:style w:type="paragraph" w:customStyle="1" w:styleId="Standard">
    <w:name w:val="Standard"/>
    <w:rsid w:val="001F2250"/>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character" w:customStyle="1" w:styleId="StrongEmphasis">
    <w:name w:val="Strong Emphasis"/>
    <w:rsid w:val="001F2250"/>
    <w:rPr>
      <w:b/>
      <w:bCs/>
    </w:rPr>
  </w:style>
  <w:style w:type="character" w:customStyle="1" w:styleId="LienInternet">
    <w:name w:val="Lien Internet"/>
    <w:basedOn w:val="Policepardfaut"/>
    <w:uiPriority w:val="99"/>
    <w:unhideWhenUsed/>
    <w:rsid w:val="001F22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7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onf.fr/foret-exception/sommaire/foretreseau/haguenau/@@index.html" TargetMode="External"/><Relationship Id="rId13" Type="http://schemas.openxmlformats.org/officeDocument/2006/relationships/hyperlink" Target="http://www.meteofrance.fr/climat-passe-et-futur/climathd" TargetMode="External"/><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www.youtube.com/watch?v=JR0W6sP8aSo"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hyperlink" Target="http://www1.onf.fr/enforet/haguenau/@@index.html%20" TargetMode="External"/><Relationship Id="rId15" Type="http://schemas.openxmlformats.org/officeDocument/2006/relationships/hyperlink" Target="https://www.efa-cgc.net/app/download/13307390736/Doc%20AN%20SENAT%20VFinale20191030.pdf?t=1573655565%20%20" TargetMode="External"/><Relationship Id="rId23" Type="http://schemas.openxmlformats.org/officeDocument/2006/relationships/hyperlink" Target="https://fr.wikipedia.org/wiki/Bouleau" TargetMode="External"/><Relationship Id="rId28" Type="http://schemas.openxmlformats.org/officeDocument/2006/relationships/hyperlink" Target="https://www.youtube.com/watch?time_continue=1&amp;v=hTHifpYZkaU&amp;feature=emb_logo" TargetMode="Externa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reseau-aforce.fr/" TargetMode="External"/><Relationship Id="rId14" Type="http://schemas.openxmlformats.org/officeDocument/2006/relationships/hyperlink" Target="http://www.drias-climat.fr/" TargetMode="External"/><Relationship Id="rId22" Type="http://schemas.openxmlformats.org/officeDocument/2006/relationships/hyperlink" Target="https://www.onf.fr/onf/forets-et-espaces-naturels/+/1f::comprendre-la-foret.html" TargetMode="External"/><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1702</Words>
  <Characters>9367</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 dartiguenave</dc:creator>
  <cp:lastModifiedBy>Manuella Van Praet</cp:lastModifiedBy>
  <cp:revision>3</cp:revision>
  <dcterms:created xsi:type="dcterms:W3CDTF">2020-07-03T16:55:00Z</dcterms:created>
  <dcterms:modified xsi:type="dcterms:W3CDTF">2020-07-09T13:58:00Z</dcterms:modified>
</cp:coreProperties>
</file>